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天津市工商业联合会</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8"/>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576262397"/>
      <w:bookmarkStart w:id="2" w:name="_Toc1358716097"/>
      <w:bookmarkStart w:id="3" w:name="_Toc1198055373"/>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883836987"/>
      <w:bookmarkStart w:id="5" w:name="_Toc909979739"/>
      <w:bookmarkStart w:id="6" w:name="_Toc1101039957"/>
      <w:bookmarkStart w:id="7" w:name="_Toc1747823728"/>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天津市工商业联合会</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市委领导的以非公有制企业和非公有制经济人士为主体的人民团体和商会组织，是党和政府联系非公有制经济人士的桥梁纽带，是政府管理和服务非公有制经济的助手。 1.宣传贯彻党关于发展非公有制经济的方针政策，落实市委、市政府部署要求，执行市工商联代表大会决定，推动形成有利于非公有制经济发展的政策环境、法治环境、市场环境、社会环境。 2.做好非公有制经济人士思想政治工作，开展理想信念教育，对非公有制经济人士特别是年轻一代进行团结、服务、引导、教育；引导非公有制经济人士爱国、敬业、创新、守法、诚信、贡献，践行社会主义核心价值观；宣传表彰先进典型。 3.引导非公有制经济人士投身光彩事业和公益慈善事业，积极履行社会责任。 4.参与政治协商，发挥民主监督作用，积极参政议政。畅通非公有制经济人士有序政治参与渠道，帮助提高议政建言水平，积极反映社情民意。 5.培养拥护党的领导、走中国特色社会主义道路的非公有制经济人士队伍，做好非公有制经济代表人士的发现、培养、推荐和管理工作。 6.履行社会团体业务主管单位职责；负责对所属商会进行指导、引导和服务，对所属商会会员开展思想政治工作、教育培训，对主要负责人进行考核；负责会员发展、联系、管理和服务工作；指导各区工商联工作。 7.推动构建亲清新型政商关系，规范会员行为自律，引导非公有制经济人士依法诚信经营；了解反映非公有制经济人士诉求，帮助其依照法定程序维护合法权益；参与经济纠纷的调解、仲裁。 8.协助政府管理和服务非公有制经济，为非公有制企业提供信息、法律、融资、技术、人才等方面服务；引导非公有制企业建立现代企业制度，加强自主创新。 9.组织非公有制企业参与实施区域协调发展战略，为地方经济建设服务，促进城乡、区域统筹协调发展。 10.参与非公有制企业党建工作，支持和配合做好所属会员企业、各类商会党组织组建工作，推动成立行业性或区域性党组织。 11.参加市协调劳动关系三方会议，参与劳动争议调解、仲裁；协调处理投资者利益与劳动者权益的关系，引导非公有制企业构建和谐劳动关系。 12.加强与港澳台工商界的联系，促进经贸合作。开展民间外交，加强与国外工商界交流合作，为非公有制企业参与“一带一路”建设、开展国际合作提供服务。 13.加强网上工商联建设，开展网络宣传、网上服务和网上维权。 14.配合市委、市政府实施人才发展战略，加强非公有制经济组织人才队伍建设。 15.承办市委、市政府交办的其他事项</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311971100"/>
      <w:bookmarkStart w:id="9" w:name="_Toc503854210"/>
      <w:bookmarkStart w:id="10" w:name="_Toc1798423086"/>
      <w:bookmarkStart w:id="11" w:name="_Toc244589183"/>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天津市工商业联合会内设10个职能处室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天津市工商业联合会</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天津市工商业联合会（本级）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749687349"/>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9"/>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291121727"/>
      <w:bookmarkStart w:id="19" w:name="_Toc708717694"/>
      <w:bookmarkStart w:id="20" w:name="_Toc984815664"/>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29,043,983.66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25,346,327.12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2,550,440.64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1,275,224.90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300,105.48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29,344,089.14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29,171,992.66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657,066.02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829,162.50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657,066.02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30,001,155.16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30,001,155.16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1473976796"/>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29,344,089.14</w:t>
            </w:r>
          </w:p>
        </w:tc>
        <w:tc>
          <w:tcPr>
            <w:tcW w:w="1240" w:type="dxa"/>
            <w:tcBorders/>
            <w:vAlign w:val="center"/>
          </w:tcPr>
          <w:p>
            <w:pPr>
              <w:snapToGrid w:val="0"/>
              <w:jc w:val="right"/>
            </w:pPr>
            <w:r>
              <w:rPr>
                <w:rFonts w:ascii="宋体" w:eastAsia="宋体" w:hAnsi="宋体" w:cs="宋体"/>
                <w:b w:val="0"/>
                <w:i w:val="0"/>
                <w:color w:val="000000"/>
                <w:sz w:val="14"/>
              </w:rPr>
              <w:t xml:space="preserve">29,043,983.66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300,105.48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25,518,423.60</w:t>
            </w:r>
          </w:p>
        </w:tc>
        <w:tc>
          <w:tcPr>
            <w:tcW w:w="1240" w:type="dxa"/>
            <w:tcBorders/>
            <w:vAlign w:val="center"/>
          </w:tcPr>
          <w:p>
            <w:pPr>
              <w:snapToGrid w:val="0"/>
              <w:jc w:val="right"/>
            </w:pPr>
            <w:r>
              <w:rPr>
                <w:rFonts w:ascii="宋体" w:eastAsia="宋体" w:hAnsi="宋体" w:cs="宋体"/>
                <w:b w:val="0"/>
                <w:i w:val="0"/>
                <w:color w:val="000000"/>
                <w:sz w:val="14"/>
              </w:rPr>
              <w:t xml:space="preserve">25,218,318.12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300,105.48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25,518,423.60</w:t>
            </w:r>
          </w:p>
        </w:tc>
        <w:tc>
          <w:tcPr>
            <w:tcW w:w="1240" w:type="dxa"/>
            <w:tcBorders/>
            <w:vAlign w:val="center"/>
          </w:tcPr>
          <w:p>
            <w:pPr>
              <w:snapToGrid w:val="0"/>
              <w:jc w:val="right"/>
            </w:pPr>
            <w:r>
              <w:rPr>
                <w:rFonts w:ascii="宋体" w:eastAsia="宋体" w:hAnsi="宋体" w:cs="宋体"/>
                <w:b w:val="0"/>
                <w:i w:val="0"/>
                <w:color w:val="000000"/>
                <w:sz w:val="14"/>
              </w:rPr>
              <w:t xml:space="preserve">25,218,318.12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300,105.48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22,466,197.10</w:t>
            </w:r>
          </w:p>
        </w:tc>
        <w:tc>
          <w:tcPr>
            <w:tcW w:w="1240" w:type="dxa"/>
            <w:tcBorders/>
            <w:vAlign w:val="center"/>
          </w:tcPr>
          <w:p>
            <w:pPr>
              <w:snapToGrid w:val="0"/>
              <w:jc w:val="right"/>
            </w:pPr>
            <w:r>
              <w:rPr>
                <w:rFonts w:ascii="宋体" w:eastAsia="宋体" w:hAnsi="宋体" w:cs="宋体"/>
                <w:b w:val="0"/>
                <w:i w:val="0"/>
                <w:color w:val="000000"/>
                <w:sz w:val="14"/>
              </w:rPr>
              <w:t xml:space="preserve">22,212,671.62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253,525.48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2,862,704.50</w:t>
            </w:r>
          </w:p>
        </w:tc>
        <w:tc>
          <w:tcPr>
            <w:tcW w:w="1240" w:type="dxa"/>
            <w:tcBorders/>
            <w:vAlign w:val="center"/>
          </w:tcPr>
          <w:p>
            <w:pPr>
              <w:snapToGrid w:val="0"/>
              <w:jc w:val="right"/>
            </w:pPr>
            <w:r>
              <w:rPr>
                <w:rFonts w:ascii="宋体" w:eastAsia="宋体" w:hAnsi="宋体" w:cs="宋体"/>
                <w:b w:val="0"/>
                <w:i w:val="0"/>
                <w:color w:val="000000"/>
                <w:sz w:val="14"/>
              </w:rPr>
              <w:t xml:space="preserve">2,816,124.50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46,580.00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2012899</w:t>
            </w:r>
          </w:p>
        </w:tc>
        <w:tc>
          <w:tcPr>
            <w:tcW w:w="2520" w:type="dxa"/>
            <w:tcBorders/>
            <w:vAlign w:val="center"/>
          </w:tcPr>
          <w:p>
            <w:pPr>
              <w:snapToGrid w:val="0"/>
              <w:jc w:val="left"/>
            </w:pPr>
            <w:r>
              <w:rPr>
                <w:rFonts w:ascii="宋体" w:eastAsia="宋体" w:hAnsi="宋体" w:cs="宋体"/>
                <w:b w:val="0"/>
                <w:i w:val="0"/>
                <w:color w:val="000000"/>
                <w:sz w:val="14"/>
              </w:rPr>
              <w:t xml:space="preserve">其他民主党派及工商联事务支出</w:t>
            </w:r>
          </w:p>
        </w:tc>
        <w:tc>
          <w:tcPr>
            <w:tcW w:w="1240" w:type="dxa"/>
            <w:tcBorders/>
            <w:vAlign w:val="center"/>
          </w:tcPr>
          <w:p>
            <w:pPr>
              <w:snapToGrid w:val="0"/>
              <w:jc w:val="right"/>
            </w:pPr>
            <w:r>
              <w:rPr>
                <w:rFonts w:ascii="宋体" w:eastAsia="宋体" w:hAnsi="宋体" w:cs="宋体"/>
                <w:b w:val="0"/>
                <w:i w:val="0"/>
                <w:color w:val="000000"/>
                <w:sz w:val="14"/>
              </w:rPr>
              <w:t xml:space="preserve">189,522.00</w:t>
            </w:r>
          </w:p>
        </w:tc>
        <w:tc>
          <w:tcPr>
            <w:tcW w:w="1240" w:type="dxa"/>
            <w:tcBorders/>
            <w:vAlign w:val="center"/>
          </w:tcPr>
          <w:p>
            <w:pPr>
              <w:snapToGrid w:val="0"/>
              <w:jc w:val="right"/>
            </w:pPr>
            <w:r>
              <w:rPr>
                <w:rFonts w:ascii="宋体" w:eastAsia="宋体" w:hAnsi="宋体" w:cs="宋体"/>
                <w:b w:val="0"/>
                <w:i w:val="0"/>
                <w:color w:val="000000"/>
                <w:sz w:val="14"/>
              </w:rPr>
              <w:t xml:space="preserve">189,522.00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2,550,440.64</w:t>
            </w:r>
          </w:p>
        </w:tc>
        <w:tc>
          <w:tcPr>
            <w:tcW w:w="1240" w:type="dxa"/>
            <w:tcBorders/>
            <w:vAlign w:val="center"/>
          </w:tcPr>
          <w:p>
            <w:pPr>
              <w:snapToGrid w:val="0"/>
              <w:jc w:val="right"/>
            </w:pPr>
            <w:r>
              <w:rPr>
                <w:rFonts w:ascii="宋体" w:eastAsia="宋体" w:hAnsi="宋体" w:cs="宋体"/>
                <w:b w:val="0"/>
                <w:i w:val="0"/>
                <w:color w:val="000000"/>
                <w:sz w:val="14"/>
              </w:rPr>
              <w:t xml:space="preserve">2,550,440.64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2,550,440.64</w:t>
            </w:r>
          </w:p>
        </w:tc>
        <w:tc>
          <w:tcPr>
            <w:tcW w:w="1240" w:type="dxa"/>
            <w:tcBorders/>
            <w:vAlign w:val="center"/>
          </w:tcPr>
          <w:p>
            <w:pPr>
              <w:snapToGrid w:val="0"/>
              <w:jc w:val="right"/>
            </w:pPr>
            <w:r>
              <w:rPr>
                <w:rFonts w:ascii="宋体" w:eastAsia="宋体" w:hAnsi="宋体" w:cs="宋体"/>
                <w:b w:val="0"/>
                <w:i w:val="0"/>
                <w:color w:val="000000"/>
                <w:sz w:val="14"/>
              </w:rPr>
              <w:t xml:space="preserve">2,550,440.64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1,700,293.76</w:t>
            </w:r>
          </w:p>
        </w:tc>
        <w:tc>
          <w:tcPr>
            <w:tcW w:w="1240" w:type="dxa"/>
            <w:tcBorders/>
            <w:vAlign w:val="center"/>
          </w:tcPr>
          <w:p>
            <w:pPr>
              <w:snapToGrid w:val="0"/>
              <w:jc w:val="right"/>
            </w:pPr>
            <w:r>
              <w:rPr>
                <w:rFonts w:ascii="宋体" w:eastAsia="宋体" w:hAnsi="宋体" w:cs="宋体"/>
                <w:b w:val="0"/>
                <w:i w:val="0"/>
                <w:color w:val="000000"/>
                <w:sz w:val="14"/>
              </w:rPr>
              <w:t xml:space="preserve">1,700,293.76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850,146.88</w:t>
            </w:r>
          </w:p>
        </w:tc>
        <w:tc>
          <w:tcPr>
            <w:tcW w:w="1240" w:type="dxa"/>
            <w:tcBorders/>
            <w:vAlign w:val="center"/>
          </w:tcPr>
          <w:p>
            <w:pPr>
              <w:snapToGrid w:val="0"/>
              <w:jc w:val="right"/>
            </w:pPr>
            <w:r>
              <w:rPr>
                <w:rFonts w:ascii="宋体" w:eastAsia="宋体" w:hAnsi="宋体" w:cs="宋体"/>
                <w:b w:val="0"/>
                <w:i w:val="0"/>
                <w:color w:val="000000"/>
                <w:sz w:val="14"/>
              </w:rPr>
              <w:t xml:space="preserve">850,146.88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1,275,224.90</w:t>
            </w:r>
          </w:p>
        </w:tc>
        <w:tc>
          <w:tcPr>
            <w:tcW w:w="1240" w:type="dxa"/>
            <w:tcBorders/>
            <w:vAlign w:val="center"/>
          </w:tcPr>
          <w:p>
            <w:pPr>
              <w:snapToGrid w:val="0"/>
              <w:jc w:val="right"/>
            </w:pPr>
            <w:r>
              <w:rPr>
                <w:rFonts w:ascii="宋体" w:eastAsia="宋体" w:hAnsi="宋体" w:cs="宋体"/>
                <w:b w:val="0"/>
                <w:i w:val="0"/>
                <w:color w:val="000000"/>
                <w:sz w:val="14"/>
              </w:rPr>
              <w:t xml:space="preserve">1,275,224.90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1,275,224.90</w:t>
            </w:r>
          </w:p>
        </w:tc>
        <w:tc>
          <w:tcPr>
            <w:tcW w:w="1240" w:type="dxa"/>
            <w:tcBorders/>
            <w:vAlign w:val="center"/>
          </w:tcPr>
          <w:p>
            <w:pPr>
              <w:snapToGrid w:val="0"/>
              <w:jc w:val="right"/>
            </w:pPr>
            <w:r>
              <w:rPr>
                <w:rFonts w:ascii="宋体" w:eastAsia="宋体" w:hAnsi="宋体" w:cs="宋体"/>
                <w:b w:val="0"/>
                <w:i w:val="0"/>
                <w:color w:val="000000"/>
                <w:sz w:val="14"/>
              </w:rPr>
              <w:t xml:space="preserve">1,275,224.90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1,062,688.18</w:t>
            </w:r>
          </w:p>
        </w:tc>
        <w:tc>
          <w:tcPr>
            <w:tcW w:w="1240" w:type="dxa"/>
            <w:tcBorders/>
            <w:vAlign w:val="center"/>
          </w:tcPr>
          <w:p>
            <w:pPr>
              <w:snapToGrid w:val="0"/>
              <w:jc w:val="right"/>
            </w:pPr>
            <w:r>
              <w:rPr>
                <w:rFonts w:ascii="宋体" w:eastAsia="宋体" w:hAnsi="宋体" w:cs="宋体"/>
                <w:b w:val="0"/>
                <w:i w:val="0"/>
                <w:color w:val="000000"/>
                <w:sz w:val="14"/>
              </w:rPr>
              <w:t xml:space="preserve">1,062,688.18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212,536.72</w:t>
            </w:r>
          </w:p>
        </w:tc>
        <w:tc>
          <w:tcPr>
            <w:tcW w:w="1240" w:type="dxa"/>
            <w:tcBorders/>
            <w:vAlign w:val="center"/>
          </w:tcPr>
          <w:p>
            <w:pPr>
              <w:snapToGrid w:val="0"/>
              <w:jc w:val="right"/>
            </w:pPr>
            <w:r>
              <w:rPr>
                <w:rFonts w:ascii="宋体" w:eastAsia="宋体" w:hAnsi="宋体" w:cs="宋体"/>
                <w:b w:val="0"/>
                <w:i w:val="0"/>
                <w:color w:val="000000"/>
                <w:sz w:val="14"/>
              </w:rPr>
              <w:t xml:space="preserve">212,536.72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190414222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30,001,155.16</w:t>
            </w:r>
          </w:p>
        </w:tc>
        <w:tc>
          <w:tcPr>
            <w:tcW w:w="580" w:type="dxa"/>
            <w:tcBorders/>
            <w:vAlign w:val="center"/>
          </w:tcPr>
          <w:p>
            <w:pPr>
              <w:snapToGrid w:val="0"/>
              <w:jc w:val="right"/>
            </w:pPr>
            <w:r>
              <w:rPr>
                <w:rFonts w:ascii="宋体" w:eastAsia="宋体" w:hAnsi="宋体" w:cs="宋体"/>
                <w:b w:val="0"/>
                <w:i w:val="0"/>
                <w:color w:val="000000"/>
                <w:sz w:val="9"/>
              </w:rPr>
              <w:t xml:space="preserve">29,344,089.14</w:t>
            </w:r>
          </w:p>
        </w:tc>
        <w:tc>
          <w:tcPr>
            <w:tcW w:w="580" w:type="dxa"/>
            <w:tcBorders/>
            <w:vAlign w:val="center"/>
          </w:tcPr>
          <w:p>
            <w:pPr>
              <w:snapToGrid w:val="0"/>
              <w:jc w:val="right"/>
            </w:pPr>
            <w:r>
              <w:rPr>
                <w:rFonts w:ascii="宋体" w:eastAsia="宋体" w:hAnsi="宋体" w:cs="宋体"/>
                <w:b w:val="0"/>
                <w:i w:val="0"/>
                <w:color w:val="000000"/>
                <w:sz w:val="9"/>
              </w:rPr>
              <w:t xml:space="preserve">29,043,983.66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300,105.48</w:t>
            </w:r>
          </w:p>
        </w:tc>
        <w:tc>
          <w:tcPr>
            <w:tcW w:w="580" w:type="dxa"/>
            <w:tcBorders/>
            <w:vAlign w:val="center"/>
          </w:tcPr>
          <w:p>
            <w:pPr>
              <w:snapToGrid w:val="0"/>
              <w:jc w:val="right"/>
            </w:pPr>
            <w:r>
              <w:rPr>
                <w:rFonts w:ascii="宋体" w:eastAsia="宋体" w:hAnsi="宋体" w:cs="宋体"/>
                <w:b w:val="0"/>
                <w:i w:val="0"/>
                <w:color w:val="000000"/>
                <w:sz w:val="9"/>
              </w:rPr>
              <w:t xml:space="preserve">657,066.02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657,066.02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657,066.02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560101</w:t>
            </w:r>
          </w:p>
        </w:tc>
        <w:tc>
          <w:tcPr>
            <w:tcW w:w="1520" w:type="dxa"/>
            <w:tcBorders/>
            <w:vAlign w:val="center"/>
          </w:tcPr>
          <w:p>
            <w:pPr>
              <w:snapToGrid w:val="0"/>
              <w:jc w:val="center"/>
            </w:pPr>
            <w:r>
              <w:rPr>
                <w:rFonts w:ascii="宋体" w:eastAsia="宋体" w:hAnsi="宋体" w:cs="宋体"/>
                <w:b w:val="0"/>
                <w:i w:val="0"/>
                <w:color w:val="000000"/>
                <w:sz w:val="9"/>
              </w:rPr>
              <w:t xml:space="preserve">天津市工商业联合会</w:t>
            </w:r>
          </w:p>
        </w:tc>
        <w:tc>
          <w:tcPr>
            <w:tcW w:w="580" w:type="dxa"/>
            <w:tcBorders/>
            <w:vAlign w:val="center"/>
          </w:tcPr>
          <w:p>
            <w:pPr>
              <w:snapToGrid w:val="0"/>
              <w:jc w:val="right"/>
            </w:pPr>
            <w:r>
              <w:rPr>
                <w:rFonts w:ascii="宋体" w:eastAsia="宋体" w:hAnsi="宋体" w:cs="宋体"/>
                <w:b w:val="0"/>
                <w:i w:val="0"/>
                <w:color w:val="000000"/>
                <w:sz w:val="9"/>
              </w:rPr>
              <w:t xml:space="preserve">30,001,155.16</w:t>
            </w:r>
          </w:p>
        </w:tc>
        <w:tc>
          <w:tcPr>
            <w:tcW w:w="580" w:type="dxa"/>
            <w:tcBorders/>
            <w:vAlign w:val="center"/>
          </w:tcPr>
          <w:p>
            <w:pPr>
              <w:snapToGrid w:val="0"/>
              <w:jc w:val="right"/>
            </w:pPr>
            <w:r>
              <w:rPr>
                <w:rFonts w:ascii="宋体" w:eastAsia="宋体" w:hAnsi="宋体" w:cs="宋体"/>
                <w:b w:val="0"/>
                <w:i w:val="0"/>
                <w:color w:val="000000"/>
                <w:sz w:val="9"/>
              </w:rPr>
              <w:t xml:space="preserve">29,344,089.14</w:t>
            </w:r>
          </w:p>
        </w:tc>
        <w:tc>
          <w:tcPr>
            <w:tcW w:w="580" w:type="dxa"/>
            <w:tcBorders/>
            <w:vAlign w:val="center"/>
          </w:tcPr>
          <w:p>
            <w:pPr>
              <w:snapToGrid w:val="0"/>
              <w:jc w:val="right"/>
            </w:pPr>
            <w:r>
              <w:rPr>
                <w:rFonts w:ascii="宋体" w:eastAsia="宋体" w:hAnsi="宋体" w:cs="宋体"/>
                <w:b w:val="0"/>
                <w:i w:val="0"/>
                <w:color w:val="000000"/>
                <w:sz w:val="9"/>
              </w:rPr>
              <w:t xml:space="preserve">29,043,983.66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300,105.48</w:t>
            </w:r>
          </w:p>
        </w:tc>
        <w:tc>
          <w:tcPr>
            <w:tcW w:w="580" w:type="dxa"/>
            <w:tcBorders/>
            <w:vAlign w:val="center"/>
          </w:tcPr>
          <w:p>
            <w:pPr>
              <w:snapToGrid w:val="0"/>
              <w:jc w:val="right"/>
            </w:pPr>
            <w:r>
              <w:rPr>
                <w:rFonts w:ascii="宋体" w:eastAsia="宋体" w:hAnsi="宋体" w:cs="宋体"/>
                <w:b w:val="0"/>
                <w:i w:val="0"/>
                <w:color w:val="000000"/>
                <w:sz w:val="9"/>
              </w:rPr>
              <w:t xml:space="preserve">657,066.02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657,066.02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657,066.02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17101595"/>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29,171,992.66</w:t>
            </w:r>
          </w:p>
        </w:tc>
        <w:tc>
          <w:tcPr>
            <w:tcW w:w="1320" w:type="dxa"/>
            <w:tcBorders/>
            <w:vAlign w:val="center"/>
          </w:tcPr>
          <w:p>
            <w:pPr>
              <w:snapToGrid w:val="0"/>
              <w:jc w:val="right"/>
            </w:pPr>
            <w:r>
              <w:rPr>
                <w:rFonts w:ascii="宋体" w:eastAsia="宋体" w:hAnsi="宋体" w:cs="宋体"/>
                <w:b w:val="0"/>
                <w:i w:val="0"/>
                <w:color w:val="000000"/>
                <w:sz w:val="15"/>
              </w:rPr>
              <w:t xml:space="preserve">26,047,727.16</w:t>
            </w:r>
          </w:p>
        </w:tc>
        <w:tc>
          <w:tcPr>
            <w:tcW w:w="1320" w:type="dxa"/>
            <w:tcBorders/>
            <w:vAlign w:val="center"/>
          </w:tcPr>
          <w:p>
            <w:pPr>
              <w:snapToGrid w:val="0"/>
              <w:jc w:val="right"/>
            </w:pPr>
            <w:r>
              <w:rPr>
                <w:rFonts w:ascii="宋体" w:eastAsia="宋体" w:hAnsi="宋体" w:cs="宋体"/>
                <w:b w:val="0"/>
                <w:i w:val="0"/>
                <w:color w:val="000000"/>
                <w:sz w:val="15"/>
              </w:rPr>
              <w:t xml:space="preserve">3,124,265.50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25,346,327.12</w:t>
            </w:r>
          </w:p>
        </w:tc>
        <w:tc>
          <w:tcPr>
            <w:tcW w:w="1320" w:type="dxa"/>
            <w:tcBorders/>
            <w:vAlign w:val="center"/>
          </w:tcPr>
          <w:p>
            <w:pPr>
              <w:snapToGrid w:val="0"/>
              <w:jc w:val="right"/>
            </w:pPr>
            <w:r>
              <w:rPr>
                <w:rFonts w:ascii="宋体" w:eastAsia="宋体" w:hAnsi="宋体" w:cs="宋体"/>
                <w:b w:val="0"/>
                <w:i w:val="0"/>
                <w:color w:val="000000"/>
                <w:sz w:val="15"/>
              </w:rPr>
              <w:t xml:space="preserve">22,222,061.62</w:t>
            </w:r>
          </w:p>
        </w:tc>
        <w:tc>
          <w:tcPr>
            <w:tcW w:w="1320" w:type="dxa"/>
            <w:tcBorders/>
            <w:vAlign w:val="center"/>
          </w:tcPr>
          <w:p>
            <w:pPr>
              <w:snapToGrid w:val="0"/>
              <w:jc w:val="right"/>
            </w:pPr>
            <w:r>
              <w:rPr>
                <w:rFonts w:ascii="宋体" w:eastAsia="宋体" w:hAnsi="宋体" w:cs="宋体"/>
                <w:b w:val="0"/>
                <w:i w:val="0"/>
                <w:color w:val="000000"/>
                <w:sz w:val="15"/>
              </w:rPr>
              <w:t xml:space="preserve">3,124,265.50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25,346,327.12</w:t>
            </w:r>
          </w:p>
        </w:tc>
        <w:tc>
          <w:tcPr>
            <w:tcW w:w="1320" w:type="dxa"/>
            <w:tcBorders/>
            <w:vAlign w:val="center"/>
          </w:tcPr>
          <w:p>
            <w:pPr>
              <w:snapToGrid w:val="0"/>
              <w:jc w:val="right"/>
            </w:pPr>
            <w:r>
              <w:rPr>
                <w:rFonts w:ascii="宋体" w:eastAsia="宋体" w:hAnsi="宋体" w:cs="宋体"/>
                <w:b w:val="0"/>
                <w:i w:val="0"/>
                <w:color w:val="000000"/>
                <w:sz w:val="15"/>
              </w:rPr>
              <w:t xml:space="preserve">22,222,061.62</w:t>
            </w:r>
          </w:p>
        </w:tc>
        <w:tc>
          <w:tcPr>
            <w:tcW w:w="1320" w:type="dxa"/>
            <w:tcBorders/>
            <w:vAlign w:val="center"/>
          </w:tcPr>
          <w:p>
            <w:pPr>
              <w:snapToGrid w:val="0"/>
              <w:jc w:val="right"/>
            </w:pPr>
            <w:r>
              <w:rPr>
                <w:rFonts w:ascii="宋体" w:eastAsia="宋体" w:hAnsi="宋体" w:cs="宋体"/>
                <w:b w:val="0"/>
                <w:i w:val="0"/>
                <w:color w:val="000000"/>
                <w:sz w:val="15"/>
              </w:rPr>
              <w:t xml:space="preserve">3,124,265.50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22,222,061.62</w:t>
            </w:r>
          </w:p>
        </w:tc>
        <w:tc>
          <w:tcPr>
            <w:tcW w:w="1320" w:type="dxa"/>
            <w:tcBorders/>
            <w:vAlign w:val="center"/>
          </w:tcPr>
          <w:p>
            <w:pPr>
              <w:snapToGrid w:val="0"/>
              <w:jc w:val="right"/>
            </w:pPr>
            <w:r>
              <w:rPr>
                <w:rFonts w:ascii="宋体" w:eastAsia="宋体" w:hAnsi="宋体" w:cs="宋体"/>
                <w:b w:val="0"/>
                <w:i w:val="0"/>
                <w:color w:val="000000"/>
                <w:sz w:val="15"/>
              </w:rPr>
              <w:t xml:space="preserve">22,222,061.62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2,934,743.50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2,934,743.50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2012899</w:t>
            </w:r>
          </w:p>
        </w:tc>
        <w:tc>
          <w:tcPr>
            <w:tcW w:w="4400" w:type="dxa"/>
            <w:tcBorders/>
            <w:vAlign w:val="center"/>
          </w:tcPr>
          <w:p>
            <w:pPr>
              <w:snapToGrid w:val="0"/>
              <w:jc w:val="left"/>
            </w:pPr>
            <w:r>
              <w:rPr>
                <w:rFonts w:ascii="宋体" w:eastAsia="宋体" w:hAnsi="宋体" w:cs="宋体"/>
                <w:b w:val="0"/>
                <w:i w:val="0"/>
                <w:color w:val="000000"/>
                <w:sz w:val="15"/>
              </w:rPr>
              <w:t xml:space="preserve">其他民主党派及工商联事务支出</w:t>
            </w:r>
          </w:p>
        </w:tc>
        <w:tc>
          <w:tcPr>
            <w:tcW w:w="1320" w:type="dxa"/>
            <w:tcBorders/>
            <w:vAlign w:val="center"/>
          </w:tcPr>
          <w:p>
            <w:pPr>
              <w:snapToGrid w:val="0"/>
              <w:jc w:val="right"/>
            </w:pPr>
            <w:r>
              <w:rPr>
                <w:rFonts w:ascii="宋体" w:eastAsia="宋体" w:hAnsi="宋体" w:cs="宋体"/>
                <w:b w:val="0"/>
                <w:i w:val="0"/>
                <w:color w:val="000000"/>
                <w:sz w:val="15"/>
              </w:rPr>
              <w:t xml:space="preserve">189,522.00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189,522.00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2,550,440.64</w:t>
            </w:r>
          </w:p>
        </w:tc>
        <w:tc>
          <w:tcPr>
            <w:tcW w:w="1320" w:type="dxa"/>
            <w:tcBorders/>
            <w:vAlign w:val="center"/>
          </w:tcPr>
          <w:p>
            <w:pPr>
              <w:snapToGrid w:val="0"/>
              <w:jc w:val="right"/>
            </w:pPr>
            <w:r>
              <w:rPr>
                <w:rFonts w:ascii="宋体" w:eastAsia="宋体" w:hAnsi="宋体" w:cs="宋体"/>
                <w:b w:val="0"/>
                <w:i w:val="0"/>
                <w:color w:val="000000"/>
                <w:sz w:val="15"/>
              </w:rPr>
              <w:t xml:space="preserve">2,550,440.64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2,550,440.64</w:t>
            </w:r>
          </w:p>
        </w:tc>
        <w:tc>
          <w:tcPr>
            <w:tcW w:w="1320" w:type="dxa"/>
            <w:tcBorders/>
            <w:vAlign w:val="center"/>
          </w:tcPr>
          <w:p>
            <w:pPr>
              <w:snapToGrid w:val="0"/>
              <w:jc w:val="right"/>
            </w:pPr>
            <w:r>
              <w:rPr>
                <w:rFonts w:ascii="宋体" w:eastAsia="宋体" w:hAnsi="宋体" w:cs="宋体"/>
                <w:b w:val="0"/>
                <w:i w:val="0"/>
                <w:color w:val="000000"/>
                <w:sz w:val="15"/>
              </w:rPr>
              <w:t xml:space="preserve">2,550,440.64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1,700,293.76</w:t>
            </w:r>
          </w:p>
        </w:tc>
        <w:tc>
          <w:tcPr>
            <w:tcW w:w="1320" w:type="dxa"/>
            <w:tcBorders/>
            <w:vAlign w:val="center"/>
          </w:tcPr>
          <w:p>
            <w:pPr>
              <w:snapToGrid w:val="0"/>
              <w:jc w:val="right"/>
            </w:pPr>
            <w:r>
              <w:rPr>
                <w:rFonts w:ascii="宋体" w:eastAsia="宋体" w:hAnsi="宋体" w:cs="宋体"/>
                <w:b w:val="0"/>
                <w:i w:val="0"/>
                <w:color w:val="000000"/>
                <w:sz w:val="15"/>
              </w:rPr>
              <w:t xml:space="preserve">1,700,293.76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850,146.88</w:t>
            </w:r>
          </w:p>
        </w:tc>
        <w:tc>
          <w:tcPr>
            <w:tcW w:w="1320" w:type="dxa"/>
            <w:tcBorders/>
            <w:vAlign w:val="center"/>
          </w:tcPr>
          <w:p>
            <w:pPr>
              <w:snapToGrid w:val="0"/>
              <w:jc w:val="right"/>
            </w:pPr>
            <w:r>
              <w:rPr>
                <w:rFonts w:ascii="宋体" w:eastAsia="宋体" w:hAnsi="宋体" w:cs="宋体"/>
                <w:b w:val="0"/>
                <w:i w:val="0"/>
                <w:color w:val="000000"/>
                <w:sz w:val="15"/>
              </w:rPr>
              <w:t xml:space="preserve">850,146.88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1,275,224.90</w:t>
            </w:r>
          </w:p>
        </w:tc>
        <w:tc>
          <w:tcPr>
            <w:tcW w:w="1320" w:type="dxa"/>
            <w:tcBorders/>
            <w:vAlign w:val="center"/>
          </w:tcPr>
          <w:p>
            <w:pPr>
              <w:snapToGrid w:val="0"/>
              <w:jc w:val="right"/>
            </w:pPr>
            <w:r>
              <w:rPr>
                <w:rFonts w:ascii="宋体" w:eastAsia="宋体" w:hAnsi="宋体" w:cs="宋体"/>
                <w:b w:val="0"/>
                <w:i w:val="0"/>
                <w:color w:val="000000"/>
                <w:sz w:val="15"/>
              </w:rPr>
              <w:t xml:space="preserve">1,275,224.90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1,275,224.90</w:t>
            </w:r>
          </w:p>
        </w:tc>
        <w:tc>
          <w:tcPr>
            <w:tcW w:w="1320" w:type="dxa"/>
            <w:tcBorders/>
            <w:vAlign w:val="center"/>
          </w:tcPr>
          <w:p>
            <w:pPr>
              <w:snapToGrid w:val="0"/>
              <w:jc w:val="right"/>
            </w:pPr>
            <w:r>
              <w:rPr>
                <w:rFonts w:ascii="宋体" w:eastAsia="宋体" w:hAnsi="宋体" w:cs="宋体"/>
                <w:b w:val="0"/>
                <w:i w:val="0"/>
                <w:color w:val="000000"/>
                <w:sz w:val="15"/>
              </w:rPr>
              <w:t xml:space="preserve">1,275,224.90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1,062,688.18</w:t>
            </w:r>
          </w:p>
        </w:tc>
        <w:tc>
          <w:tcPr>
            <w:tcW w:w="1320" w:type="dxa"/>
            <w:tcBorders/>
            <w:vAlign w:val="center"/>
          </w:tcPr>
          <w:p>
            <w:pPr>
              <w:snapToGrid w:val="0"/>
              <w:jc w:val="right"/>
            </w:pPr>
            <w:r>
              <w:rPr>
                <w:rFonts w:ascii="宋体" w:eastAsia="宋体" w:hAnsi="宋体" w:cs="宋体"/>
                <w:b w:val="0"/>
                <w:i w:val="0"/>
                <w:color w:val="000000"/>
                <w:sz w:val="15"/>
              </w:rPr>
              <w:t xml:space="preserve">1,062,688.18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212,536.72</w:t>
            </w:r>
          </w:p>
        </w:tc>
        <w:tc>
          <w:tcPr>
            <w:tcW w:w="1320" w:type="dxa"/>
            <w:tcBorders/>
            <w:vAlign w:val="center"/>
          </w:tcPr>
          <w:p>
            <w:pPr>
              <w:snapToGrid w:val="0"/>
              <w:jc w:val="right"/>
            </w:pPr>
            <w:r>
              <w:rPr>
                <w:rFonts w:ascii="宋体" w:eastAsia="宋体" w:hAnsi="宋体" w:cs="宋体"/>
                <w:b w:val="0"/>
                <w:i w:val="0"/>
                <w:color w:val="000000"/>
                <w:sz w:val="15"/>
              </w:rPr>
              <w:t xml:space="preserve">212,536.72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824465091"/>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25,218,318.12</w:t>
            </w:r>
          </w:p>
        </w:tc>
        <w:tc>
          <w:tcPr>
            <w:tcW w:w="1420" w:type="dxa"/>
            <w:tcBorders/>
            <w:vAlign w:val="center"/>
          </w:tcPr>
          <w:p>
            <w:pPr>
              <w:snapToGrid w:val="0"/>
              <w:jc w:val="right"/>
            </w:pPr>
            <w:r>
              <w:rPr>
                <w:rFonts w:ascii="宋体" w:eastAsia="宋体" w:hAnsi="宋体" w:cs="宋体"/>
                <w:b w:val="0"/>
                <w:i w:val="0"/>
                <w:color w:val="000000"/>
                <w:sz w:val="16"/>
              </w:rPr>
              <w:t xml:space="preserve">25,218,318.12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2,550,440.64</w:t>
            </w:r>
          </w:p>
        </w:tc>
        <w:tc>
          <w:tcPr>
            <w:tcW w:w="1420" w:type="dxa"/>
            <w:tcBorders/>
            <w:vAlign w:val="center"/>
          </w:tcPr>
          <w:p>
            <w:pPr>
              <w:snapToGrid w:val="0"/>
              <w:jc w:val="right"/>
            </w:pPr>
            <w:r>
              <w:rPr>
                <w:rFonts w:ascii="宋体" w:eastAsia="宋体" w:hAnsi="宋体" w:cs="宋体"/>
                <w:b w:val="0"/>
                <w:i w:val="0"/>
                <w:color w:val="000000"/>
                <w:sz w:val="16"/>
              </w:rPr>
              <w:t xml:space="preserve">2,550,440.64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1,275,224.90</w:t>
            </w:r>
          </w:p>
        </w:tc>
        <w:tc>
          <w:tcPr>
            <w:tcW w:w="1420" w:type="dxa"/>
            <w:tcBorders/>
            <w:vAlign w:val="center"/>
          </w:tcPr>
          <w:p>
            <w:pPr>
              <w:snapToGrid w:val="0"/>
              <w:jc w:val="right"/>
            </w:pPr>
            <w:r>
              <w:rPr>
                <w:rFonts w:ascii="宋体" w:eastAsia="宋体" w:hAnsi="宋体" w:cs="宋体"/>
                <w:b w:val="0"/>
                <w:i w:val="0"/>
                <w:color w:val="000000"/>
                <w:sz w:val="16"/>
              </w:rPr>
              <w:t xml:space="preserve">1,275,224.90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1420" w:type="dxa"/>
            <w:tcBorders/>
            <w:vAlign w:val="center"/>
          </w:tcPr>
          <w:p>
            <w:pPr>
              <w:snapToGrid w:val="0"/>
              <w:jc w:val="right"/>
            </w:pPr>
            <w:r>
              <w:rPr>
                <w:rFonts w:ascii="宋体" w:eastAsia="宋体" w:hAnsi="宋体" w:cs="宋体"/>
                <w:b w:val="0"/>
                <w:i w:val="0"/>
                <w:color w:val="000000"/>
                <w:sz w:val="16"/>
              </w:rPr>
              <w:t xml:space="preserve">29,043,983.66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2013272571"/>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29,043,983.66</w:t>
            </w:r>
          </w:p>
        </w:tc>
        <w:tc>
          <w:tcPr>
            <w:tcW w:w="1720" w:type="dxa"/>
            <w:tcBorders/>
            <w:vAlign w:val="center"/>
          </w:tcPr>
          <w:p>
            <w:pPr>
              <w:snapToGrid w:val="0"/>
              <w:jc w:val="right"/>
            </w:pPr>
            <w:r>
              <w:rPr>
                <w:rFonts w:ascii="宋体" w:eastAsia="宋体" w:hAnsi="宋体" w:cs="宋体"/>
                <w:b w:val="0"/>
                <w:i w:val="0"/>
                <w:color w:val="000000"/>
                <w:sz w:val="20"/>
              </w:rPr>
              <w:t xml:space="preserve">26,038,337.16</w:t>
            </w:r>
          </w:p>
        </w:tc>
        <w:tc>
          <w:tcPr>
            <w:tcW w:w="1720" w:type="dxa"/>
            <w:tcBorders/>
            <w:vAlign w:val="center"/>
          </w:tcPr>
          <w:p>
            <w:pPr>
              <w:snapToGrid w:val="0"/>
              <w:jc w:val="right"/>
            </w:pPr>
            <w:r>
              <w:rPr>
                <w:rFonts w:ascii="宋体" w:eastAsia="宋体" w:hAnsi="宋体" w:cs="宋体"/>
                <w:b w:val="0"/>
                <w:i w:val="0"/>
                <w:color w:val="000000"/>
                <w:sz w:val="20"/>
              </w:rPr>
              <w:t xml:space="preserve">23,175,523.82</w:t>
            </w:r>
          </w:p>
        </w:tc>
        <w:tc>
          <w:tcPr>
            <w:tcW w:w="1720" w:type="dxa"/>
            <w:tcBorders/>
            <w:vAlign w:val="center"/>
          </w:tcPr>
          <w:p>
            <w:pPr>
              <w:snapToGrid w:val="0"/>
              <w:jc w:val="right"/>
            </w:pPr>
            <w:r>
              <w:rPr>
                <w:rFonts w:ascii="宋体" w:eastAsia="宋体" w:hAnsi="宋体" w:cs="宋体"/>
                <w:b w:val="0"/>
                <w:i w:val="0"/>
                <w:color w:val="000000"/>
                <w:sz w:val="20"/>
              </w:rPr>
              <w:t xml:space="preserve">2,862,813.34</w:t>
            </w:r>
          </w:p>
        </w:tc>
        <w:tc>
          <w:tcPr>
            <w:tcW w:w="1698" w:type="dxa"/>
            <w:tcBorders/>
            <w:vAlign w:val="center"/>
          </w:tcPr>
          <w:p>
            <w:pPr>
              <w:snapToGrid w:val="0"/>
              <w:jc w:val="right"/>
            </w:pPr>
            <w:r>
              <w:rPr>
                <w:rFonts w:ascii="宋体" w:eastAsia="宋体" w:hAnsi="宋体" w:cs="宋体"/>
                <w:b w:val="0"/>
                <w:i w:val="0"/>
                <w:color w:val="000000"/>
                <w:sz w:val="20"/>
              </w:rPr>
              <w:t xml:space="preserve">3,005,646.50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25,218,318.12</w:t>
            </w:r>
          </w:p>
        </w:tc>
        <w:tc>
          <w:tcPr>
            <w:tcW w:w="1720" w:type="dxa"/>
            <w:tcBorders/>
            <w:vAlign w:val="center"/>
          </w:tcPr>
          <w:p>
            <w:pPr>
              <w:snapToGrid w:val="0"/>
              <w:jc w:val="right"/>
            </w:pPr>
            <w:r>
              <w:rPr>
                <w:rFonts w:ascii="宋体" w:eastAsia="宋体" w:hAnsi="宋体" w:cs="宋体"/>
                <w:b w:val="0"/>
                <w:i w:val="0"/>
                <w:color w:val="000000"/>
                <w:sz w:val="20"/>
              </w:rPr>
              <w:t xml:space="preserve">22,212,671.62</w:t>
            </w:r>
          </w:p>
        </w:tc>
        <w:tc>
          <w:tcPr>
            <w:tcW w:w="1720" w:type="dxa"/>
            <w:tcBorders/>
            <w:vAlign w:val="center"/>
          </w:tcPr>
          <w:p>
            <w:pPr>
              <w:snapToGrid w:val="0"/>
              <w:jc w:val="right"/>
            </w:pPr>
            <w:r>
              <w:rPr>
                <w:rFonts w:ascii="宋体" w:eastAsia="宋体" w:hAnsi="宋体" w:cs="宋体"/>
                <w:b w:val="0"/>
                <w:i w:val="0"/>
                <w:color w:val="000000"/>
                <w:sz w:val="20"/>
              </w:rPr>
              <w:t xml:space="preserve">19,349,858.28</w:t>
            </w:r>
          </w:p>
        </w:tc>
        <w:tc>
          <w:tcPr>
            <w:tcW w:w="1720" w:type="dxa"/>
            <w:tcBorders/>
            <w:vAlign w:val="center"/>
          </w:tcPr>
          <w:p>
            <w:pPr>
              <w:snapToGrid w:val="0"/>
              <w:jc w:val="right"/>
            </w:pPr>
            <w:r>
              <w:rPr>
                <w:rFonts w:ascii="宋体" w:eastAsia="宋体" w:hAnsi="宋体" w:cs="宋体"/>
                <w:b w:val="0"/>
                <w:i w:val="0"/>
                <w:color w:val="000000"/>
                <w:sz w:val="20"/>
              </w:rPr>
              <w:t xml:space="preserve">2,862,813.34</w:t>
            </w:r>
          </w:p>
        </w:tc>
        <w:tc>
          <w:tcPr>
            <w:tcW w:w="1698" w:type="dxa"/>
            <w:tcBorders/>
            <w:vAlign w:val="center"/>
          </w:tcPr>
          <w:p>
            <w:pPr>
              <w:snapToGrid w:val="0"/>
              <w:jc w:val="right"/>
            </w:pPr>
            <w:r>
              <w:rPr>
                <w:rFonts w:ascii="宋体" w:eastAsia="宋体" w:hAnsi="宋体" w:cs="宋体"/>
                <w:b w:val="0"/>
                <w:i w:val="0"/>
                <w:color w:val="000000"/>
                <w:sz w:val="20"/>
              </w:rPr>
              <w:t xml:space="preserve">3,005,646.50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25,218,318.12</w:t>
            </w:r>
          </w:p>
        </w:tc>
        <w:tc>
          <w:tcPr>
            <w:tcW w:w="1720" w:type="dxa"/>
            <w:tcBorders/>
            <w:vAlign w:val="center"/>
          </w:tcPr>
          <w:p>
            <w:pPr>
              <w:snapToGrid w:val="0"/>
              <w:jc w:val="right"/>
            </w:pPr>
            <w:r>
              <w:rPr>
                <w:rFonts w:ascii="宋体" w:eastAsia="宋体" w:hAnsi="宋体" w:cs="宋体"/>
                <w:b w:val="0"/>
                <w:i w:val="0"/>
                <w:color w:val="000000"/>
                <w:sz w:val="20"/>
              </w:rPr>
              <w:t xml:space="preserve">22,212,671.62</w:t>
            </w:r>
          </w:p>
        </w:tc>
        <w:tc>
          <w:tcPr>
            <w:tcW w:w="1720" w:type="dxa"/>
            <w:tcBorders/>
            <w:vAlign w:val="center"/>
          </w:tcPr>
          <w:p>
            <w:pPr>
              <w:snapToGrid w:val="0"/>
              <w:jc w:val="right"/>
            </w:pPr>
            <w:r>
              <w:rPr>
                <w:rFonts w:ascii="宋体" w:eastAsia="宋体" w:hAnsi="宋体" w:cs="宋体"/>
                <w:b w:val="0"/>
                <w:i w:val="0"/>
                <w:color w:val="000000"/>
                <w:sz w:val="20"/>
              </w:rPr>
              <w:t xml:space="preserve">19,349,858.28</w:t>
            </w:r>
          </w:p>
        </w:tc>
        <w:tc>
          <w:tcPr>
            <w:tcW w:w="1720" w:type="dxa"/>
            <w:tcBorders/>
            <w:vAlign w:val="center"/>
          </w:tcPr>
          <w:p>
            <w:pPr>
              <w:snapToGrid w:val="0"/>
              <w:jc w:val="right"/>
            </w:pPr>
            <w:r>
              <w:rPr>
                <w:rFonts w:ascii="宋体" w:eastAsia="宋体" w:hAnsi="宋体" w:cs="宋体"/>
                <w:b w:val="0"/>
                <w:i w:val="0"/>
                <w:color w:val="000000"/>
                <w:sz w:val="20"/>
              </w:rPr>
              <w:t xml:space="preserve">2,862,813.34</w:t>
            </w:r>
          </w:p>
        </w:tc>
        <w:tc>
          <w:tcPr>
            <w:tcW w:w="1698" w:type="dxa"/>
            <w:tcBorders/>
            <w:vAlign w:val="center"/>
          </w:tcPr>
          <w:p>
            <w:pPr>
              <w:snapToGrid w:val="0"/>
              <w:jc w:val="right"/>
            </w:pPr>
            <w:r>
              <w:rPr>
                <w:rFonts w:ascii="宋体" w:eastAsia="宋体" w:hAnsi="宋体" w:cs="宋体"/>
                <w:b w:val="0"/>
                <w:i w:val="0"/>
                <w:color w:val="000000"/>
                <w:sz w:val="20"/>
              </w:rPr>
              <w:t xml:space="preserve">3,005,646.50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22,212,671.62</w:t>
            </w:r>
          </w:p>
        </w:tc>
        <w:tc>
          <w:tcPr>
            <w:tcW w:w="1720" w:type="dxa"/>
            <w:tcBorders/>
            <w:vAlign w:val="center"/>
          </w:tcPr>
          <w:p>
            <w:pPr>
              <w:snapToGrid w:val="0"/>
              <w:jc w:val="right"/>
            </w:pPr>
            <w:r>
              <w:rPr>
                <w:rFonts w:ascii="宋体" w:eastAsia="宋体" w:hAnsi="宋体" w:cs="宋体"/>
                <w:b w:val="0"/>
                <w:i w:val="0"/>
                <w:color w:val="000000"/>
                <w:sz w:val="20"/>
              </w:rPr>
              <w:t xml:space="preserve">22,212,671.62</w:t>
            </w:r>
          </w:p>
        </w:tc>
        <w:tc>
          <w:tcPr>
            <w:tcW w:w="1720" w:type="dxa"/>
            <w:tcBorders/>
            <w:vAlign w:val="center"/>
          </w:tcPr>
          <w:p>
            <w:pPr>
              <w:snapToGrid w:val="0"/>
              <w:jc w:val="right"/>
            </w:pPr>
            <w:r>
              <w:rPr>
                <w:rFonts w:ascii="宋体" w:eastAsia="宋体" w:hAnsi="宋体" w:cs="宋体"/>
                <w:b w:val="0"/>
                <w:i w:val="0"/>
                <w:color w:val="000000"/>
                <w:sz w:val="20"/>
              </w:rPr>
              <w:t xml:space="preserve">19,349,858.28</w:t>
            </w:r>
          </w:p>
        </w:tc>
        <w:tc>
          <w:tcPr>
            <w:tcW w:w="1720" w:type="dxa"/>
            <w:tcBorders/>
            <w:vAlign w:val="center"/>
          </w:tcPr>
          <w:p>
            <w:pPr>
              <w:snapToGrid w:val="0"/>
              <w:jc w:val="right"/>
            </w:pPr>
            <w:r>
              <w:rPr>
                <w:rFonts w:ascii="宋体" w:eastAsia="宋体" w:hAnsi="宋体" w:cs="宋体"/>
                <w:b w:val="0"/>
                <w:i w:val="0"/>
                <w:color w:val="000000"/>
                <w:sz w:val="20"/>
              </w:rPr>
              <w:t xml:space="preserve">2,862,813.34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2,816,124.50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2,816,124.50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2012899</w:t>
            </w:r>
          </w:p>
        </w:tc>
        <w:tc>
          <w:tcPr>
            <w:tcW w:w="3480" w:type="dxa"/>
            <w:tcBorders/>
            <w:vAlign w:val="center"/>
          </w:tcPr>
          <w:p>
            <w:pPr>
              <w:snapToGrid w:val="0"/>
              <w:jc w:val="left"/>
            </w:pPr>
            <w:r>
              <w:rPr>
                <w:rFonts w:ascii="宋体" w:eastAsia="宋体" w:hAnsi="宋体" w:cs="宋体"/>
                <w:b w:val="0"/>
                <w:i w:val="0"/>
                <w:color w:val="000000"/>
                <w:sz w:val="20"/>
              </w:rPr>
              <w:t xml:space="preserve">其他民主党派及工商联事务支出</w:t>
            </w:r>
          </w:p>
        </w:tc>
        <w:tc>
          <w:tcPr>
            <w:tcW w:w="1720" w:type="dxa"/>
            <w:tcBorders/>
            <w:vAlign w:val="center"/>
          </w:tcPr>
          <w:p>
            <w:pPr>
              <w:snapToGrid w:val="0"/>
              <w:jc w:val="right"/>
            </w:pPr>
            <w:r>
              <w:rPr>
                <w:rFonts w:ascii="宋体" w:eastAsia="宋体" w:hAnsi="宋体" w:cs="宋体"/>
                <w:b w:val="0"/>
                <w:i w:val="0"/>
                <w:color w:val="000000"/>
                <w:sz w:val="20"/>
              </w:rPr>
              <w:t xml:space="preserve">189,522.00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189,522.00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snapToGrid w:val="0"/>
              <w:jc w:val="right"/>
            </w:pPr>
            <w:r>
              <w:rPr>
                <w:rFonts w:ascii="宋体" w:eastAsia="宋体" w:hAnsi="宋体" w:cs="宋体"/>
                <w:b w:val="0"/>
                <w:i w:val="0"/>
                <w:color w:val="000000"/>
                <w:sz w:val="20"/>
              </w:rPr>
              <w:t xml:space="preserve">2,550,440.64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1,700,293.76</w:t>
            </w:r>
          </w:p>
        </w:tc>
        <w:tc>
          <w:tcPr>
            <w:tcW w:w="1720" w:type="dxa"/>
            <w:tcBorders/>
            <w:vAlign w:val="center"/>
          </w:tcPr>
          <w:p>
            <w:pPr>
              <w:snapToGrid w:val="0"/>
              <w:jc w:val="right"/>
            </w:pPr>
            <w:r>
              <w:rPr>
                <w:rFonts w:ascii="宋体" w:eastAsia="宋体" w:hAnsi="宋体" w:cs="宋体"/>
                <w:b w:val="0"/>
                <w:i w:val="0"/>
                <w:color w:val="000000"/>
                <w:sz w:val="20"/>
              </w:rPr>
              <w:t xml:space="preserve">1,700,293.76</w:t>
            </w:r>
          </w:p>
        </w:tc>
        <w:tc>
          <w:tcPr>
            <w:tcW w:w="1720" w:type="dxa"/>
            <w:tcBorders/>
            <w:vAlign w:val="center"/>
          </w:tcPr>
          <w:p>
            <w:pPr>
              <w:snapToGrid w:val="0"/>
              <w:jc w:val="right"/>
            </w:pPr>
            <w:r>
              <w:rPr>
                <w:rFonts w:ascii="宋体" w:eastAsia="宋体" w:hAnsi="宋体" w:cs="宋体"/>
                <w:b w:val="0"/>
                <w:i w:val="0"/>
                <w:color w:val="000000"/>
                <w:sz w:val="20"/>
              </w:rPr>
              <w:t xml:space="preserve">1,700,293.76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850,146.88</w:t>
            </w:r>
          </w:p>
        </w:tc>
        <w:tc>
          <w:tcPr>
            <w:tcW w:w="1720" w:type="dxa"/>
            <w:tcBorders/>
            <w:vAlign w:val="center"/>
          </w:tcPr>
          <w:p>
            <w:pPr>
              <w:snapToGrid w:val="0"/>
              <w:jc w:val="right"/>
            </w:pPr>
            <w:r>
              <w:rPr>
                <w:rFonts w:ascii="宋体" w:eastAsia="宋体" w:hAnsi="宋体" w:cs="宋体"/>
                <w:b w:val="0"/>
                <w:i w:val="0"/>
                <w:color w:val="000000"/>
                <w:sz w:val="20"/>
              </w:rPr>
              <w:t xml:space="preserve">850,146.88</w:t>
            </w:r>
          </w:p>
        </w:tc>
        <w:tc>
          <w:tcPr>
            <w:tcW w:w="1720" w:type="dxa"/>
            <w:tcBorders/>
            <w:vAlign w:val="center"/>
          </w:tcPr>
          <w:p>
            <w:pPr>
              <w:snapToGrid w:val="0"/>
              <w:jc w:val="right"/>
            </w:pPr>
            <w:r>
              <w:rPr>
                <w:rFonts w:ascii="宋体" w:eastAsia="宋体" w:hAnsi="宋体" w:cs="宋体"/>
                <w:b w:val="0"/>
                <w:i w:val="0"/>
                <w:color w:val="000000"/>
                <w:sz w:val="20"/>
              </w:rPr>
              <w:t xml:space="preserve">850,146.88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snapToGrid w:val="0"/>
              <w:jc w:val="right"/>
            </w:pPr>
            <w:r>
              <w:rPr>
                <w:rFonts w:ascii="宋体" w:eastAsia="宋体" w:hAnsi="宋体" w:cs="宋体"/>
                <w:b w:val="0"/>
                <w:i w:val="0"/>
                <w:color w:val="000000"/>
                <w:sz w:val="20"/>
              </w:rPr>
              <w:t xml:space="preserve">1,275,224.90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1,062,688.18</w:t>
            </w:r>
          </w:p>
        </w:tc>
        <w:tc>
          <w:tcPr>
            <w:tcW w:w="1720" w:type="dxa"/>
            <w:tcBorders/>
            <w:vAlign w:val="center"/>
          </w:tcPr>
          <w:p>
            <w:pPr>
              <w:snapToGrid w:val="0"/>
              <w:jc w:val="right"/>
            </w:pPr>
            <w:r>
              <w:rPr>
                <w:rFonts w:ascii="宋体" w:eastAsia="宋体" w:hAnsi="宋体" w:cs="宋体"/>
                <w:b w:val="0"/>
                <w:i w:val="0"/>
                <w:color w:val="000000"/>
                <w:sz w:val="20"/>
              </w:rPr>
              <w:t xml:space="preserve">1,062,688.18</w:t>
            </w:r>
          </w:p>
        </w:tc>
        <w:tc>
          <w:tcPr>
            <w:tcW w:w="1720" w:type="dxa"/>
            <w:tcBorders/>
            <w:vAlign w:val="center"/>
          </w:tcPr>
          <w:p>
            <w:pPr>
              <w:snapToGrid w:val="0"/>
              <w:jc w:val="right"/>
            </w:pPr>
            <w:r>
              <w:rPr>
                <w:rFonts w:ascii="宋体" w:eastAsia="宋体" w:hAnsi="宋体" w:cs="宋体"/>
                <w:b w:val="0"/>
                <w:i w:val="0"/>
                <w:color w:val="000000"/>
                <w:sz w:val="20"/>
              </w:rPr>
              <w:t xml:space="preserve">1,062,688.18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212,536.72</w:t>
            </w:r>
          </w:p>
        </w:tc>
        <w:tc>
          <w:tcPr>
            <w:tcW w:w="1720" w:type="dxa"/>
            <w:tcBorders/>
            <w:vAlign w:val="center"/>
          </w:tcPr>
          <w:p>
            <w:pPr>
              <w:snapToGrid w:val="0"/>
              <w:jc w:val="right"/>
            </w:pPr>
            <w:r>
              <w:rPr>
                <w:rFonts w:ascii="宋体" w:eastAsia="宋体" w:hAnsi="宋体" w:cs="宋体"/>
                <w:b w:val="0"/>
                <w:i w:val="0"/>
                <w:color w:val="000000"/>
                <w:sz w:val="20"/>
              </w:rPr>
              <w:t xml:space="preserve">212,536.72</w:t>
            </w:r>
          </w:p>
        </w:tc>
        <w:tc>
          <w:tcPr>
            <w:tcW w:w="1720" w:type="dxa"/>
            <w:tcBorders/>
            <w:vAlign w:val="center"/>
          </w:tcPr>
          <w:p>
            <w:pPr>
              <w:snapToGrid w:val="0"/>
              <w:jc w:val="right"/>
            </w:pPr>
            <w:r>
              <w:rPr>
                <w:rFonts w:ascii="宋体" w:eastAsia="宋体" w:hAnsi="宋体" w:cs="宋体"/>
                <w:b w:val="0"/>
                <w:i w:val="0"/>
                <w:color w:val="000000"/>
                <w:sz w:val="20"/>
              </w:rPr>
              <w:t xml:space="preserve">212,536.72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1319758665"/>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22,754,976.02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2,792,002.34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3,994,158.40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293,239.13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4,672,915.00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17,835.50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70,811.00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4,080,177.90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63,777.00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35,800.00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1,700,293.76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122,505.09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850,146.88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37,433.95</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1,062,688.18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100,570.42</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212,536.72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29,178.18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5,553,872.00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18,705.00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599,009.00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197,921.60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420,547.80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93,743.00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378,547.80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42,732.87</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snapToGrid w:val="0"/>
              <w:jc w:val="right"/>
            </w:pPr>
            <w:r>
              <w:rPr>
                <w:rFonts w:ascii="宋体" w:eastAsia="宋体" w:hAnsi="宋体" w:cs="宋体"/>
                <w:b w:val="0"/>
                <w:i w:val="0"/>
                <w:color w:val="000000"/>
                <w:sz w:val="14"/>
              </w:rPr>
              <w:t xml:space="preserve">7,034.00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69,832.20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174,000.00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272,464.00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29,919.58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796,900.00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42,000.00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438,400.00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23,175,523.82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2,862,813.34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2050619938"/>
      <w:bookmarkStart w:id="28" w:name="_Toc1972277765"/>
      <w:bookmarkStart w:id="29" w:name="_Toc1059543692"/>
      <w:bookmarkStart w:id="30" w:name="_Toc1972776439"/>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天津市工商业联合会2024年度政府性基金预算财政拨款收入支出决算表为空表。</w:t>
      </w:r>
      <w:bookmarkStart w:id="31" w:name="_Toc816430520"/>
      <w:bookmarkStart w:id="32" w:name="_Toc1951730910"/>
      <w:bookmarkStart w:id="33" w:name="_Toc1662304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453584240"/>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天津市工商业联合会2024年国有资本经营预算财政拨款收入支出决算表为空表。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616353408"/>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299,167.54</w:t>
            </w:r>
          </w:p>
        </w:tc>
        <w:tc>
          <w:tcPr>
            <w:tcW w:w="2200" w:type="dxa"/>
            <w:tcBorders/>
            <w:vAlign w:val="center"/>
          </w:tcPr>
          <w:p>
            <w:pPr>
              <w:snapToGrid w:val="0"/>
              <w:jc w:val="right"/>
            </w:pPr>
            <w:r>
              <w:rPr>
                <w:rFonts w:ascii="宋体" w:eastAsia="宋体" w:hAnsi="宋体" w:cs="宋体"/>
                <w:b w:val="0"/>
                <w:i w:val="0"/>
                <w:color w:val="000000"/>
                <w:sz w:val="24"/>
              </w:rPr>
              <w:t xml:space="preserve">226,515.09</w:t>
            </w:r>
          </w:p>
        </w:tc>
        <w:tc>
          <w:tcPr>
            <w:tcW w:w="2200" w:type="dxa"/>
            <w:tcBorders/>
            <w:vAlign w:val="center"/>
          </w:tcPr>
          <w:p>
            <w:pPr>
              <w:snapToGrid w:val="0"/>
              <w:jc w:val="right"/>
            </w:pPr>
            <w:r>
              <w:rPr>
                <w:rFonts w:ascii="宋体" w:eastAsia="宋体" w:hAnsi="宋体" w:cs="宋体"/>
                <w:b w:val="0"/>
                <w:i w:val="0"/>
                <w:color w:val="000000"/>
                <w:sz w:val="24"/>
              </w:rPr>
              <w:t xml:space="preserve">29,919.58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29,919.58</w:t>
            </w:r>
          </w:p>
        </w:tc>
        <w:tc>
          <w:tcPr>
            <w:tcW w:w="2218" w:type="dxa"/>
            <w:tcBorders/>
            <w:vAlign w:val="center"/>
          </w:tcPr>
          <w:p>
            <w:pPr>
              <w:snapToGrid w:val="0"/>
              <w:jc w:val="right"/>
            </w:pPr>
            <w:r>
              <w:rPr>
                <w:rFonts w:ascii="宋体" w:eastAsia="宋体" w:hAnsi="宋体" w:cs="宋体"/>
                <w:b w:val="0"/>
                <w:i w:val="0"/>
                <w:color w:val="000000"/>
                <w:sz w:val="24"/>
              </w:rPr>
              <w:t xml:space="preserve">42,732.87</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2044509788"/>
      <w:bookmarkStart w:id="41" w:name="_Toc1738098775"/>
      <w:bookmarkStart w:id="42" w:name="_Toc173785173"/>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部门：天津市工商业联合会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3,124,265.50</w:t>
            </w:r>
          </w:p>
        </w:tc>
        <w:tc>
          <w:tcPr>
            <w:tcW w:w="1380" w:type="dxa"/>
            <w:tcBorders/>
            <w:vAlign w:val="center"/>
          </w:tcPr>
          <w:p>
            <w:pPr>
              <w:snapToGrid w:val="0"/>
              <w:jc w:val="right"/>
            </w:pPr>
            <w:r>
              <w:rPr>
                <w:rFonts w:ascii="宋体" w:eastAsia="宋体" w:hAnsi="宋体" w:cs="宋体"/>
                <w:b w:val="0"/>
                <w:i w:val="0"/>
                <w:color w:val="000000"/>
                <w:sz w:val="16"/>
              </w:rPr>
              <w:t xml:space="preserve">3,005,646.50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118,619.00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3,124,265.50</w:t>
            </w:r>
          </w:p>
        </w:tc>
        <w:tc>
          <w:tcPr>
            <w:tcW w:w="1380" w:type="dxa"/>
            <w:tcBorders/>
            <w:vAlign w:val="center"/>
          </w:tcPr>
          <w:p>
            <w:pPr>
              <w:snapToGrid w:val="0"/>
              <w:jc w:val="right"/>
            </w:pPr>
            <w:r>
              <w:rPr>
                <w:rFonts w:ascii="宋体" w:eastAsia="宋体" w:hAnsi="宋体" w:cs="宋体"/>
                <w:b w:val="0"/>
                <w:i w:val="0"/>
                <w:color w:val="000000"/>
                <w:sz w:val="16"/>
              </w:rPr>
              <w:t xml:space="preserve">3,005,646.50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118,619.00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3,124,265.50</w:t>
            </w:r>
          </w:p>
        </w:tc>
        <w:tc>
          <w:tcPr>
            <w:tcW w:w="1380" w:type="dxa"/>
            <w:tcBorders/>
            <w:vAlign w:val="center"/>
          </w:tcPr>
          <w:p>
            <w:pPr>
              <w:snapToGrid w:val="0"/>
              <w:jc w:val="right"/>
            </w:pPr>
            <w:r>
              <w:rPr>
                <w:rFonts w:ascii="宋体" w:eastAsia="宋体" w:hAnsi="宋体" w:cs="宋体"/>
                <w:b w:val="0"/>
                <w:i w:val="0"/>
                <w:color w:val="000000"/>
                <w:sz w:val="16"/>
              </w:rPr>
              <w:t xml:space="preserve">3,005,646.50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118,619.00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2,934,743.50</w:t>
            </w:r>
          </w:p>
        </w:tc>
        <w:tc>
          <w:tcPr>
            <w:tcW w:w="1380" w:type="dxa"/>
            <w:tcBorders/>
            <w:vAlign w:val="center"/>
          </w:tcPr>
          <w:p>
            <w:pPr>
              <w:snapToGrid w:val="0"/>
              <w:jc w:val="right"/>
            </w:pPr>
            <w:r>
              <w:rPr>
                <w:rFonts w:ascii="宋体" w:eastAsia="宋体" w:hAnsi="宋体" w:cs="宋体"/>
                <w:b w:val="0"/>
                <w:i w:val="0"/>
                <w:color w:val="000000"/>
                <w:sz w:val="16"/>
              </w:rPr>
              <w:t xml:space="preserve">2,816,124.50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118,619.00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2012899</w:t>
            </w:r>
          </w:p>
        </w:tc>
        <w:tc>
          <w:tcPr>
            <w:tcW w:w="3980" w:type="dxa"/>
            <w:tcBorders/>
            <w:vAlign w:val="center"/>
          </w:tcPr>
          <w:p>
            <w:pPr>
              <w:snapToGrid w:val="0"/>
              <w:jc w:val="left"/>
            </w:pPr>
            <w:r>
              <w:rPr>
                <w:rFonts w:ascii="宋体" w:eastAsia="宋体" w:hAnsi="宋体" w:cs="宋体"/>
                <w:b w:val="0"/>
                <w:i w:val="0"/>
                <w:color w:val="000000"/>
                <w:sz w:val="16"/>
              </w:rPr>
              <w:t xml:space="preserve">其他民主党派及工商联事务支出</w:t>
            </w:r>
          </w:p>
        </w:tc>
        <w:tc>
          <w:tcPr>
            <w:tcW w:w="1380" w:type="dxa"/>
            <w:tcBorders/>
            <w:vAlign w:val="center"/>
          </w:tcPr>
          <w:p>
            <w:pPr>
              <w:snapToGrid w:val="0"/>
              <w:jc w:val="right"/>
            </w:pPr>
            <w:r>
              <w:rPr>
                <w:rFonts w:ascii="宋体" w:eastAsia="宋体" w:hAnsi="宋体" w:cs="宋体"/>
                <w:b w:val="0"/>
                <w:i w:val="0"/>
                <w:color w:val="000000"/>
                <w:sz w:val="16"/>
              </w:rPr>
              <w:t xml:space="preserve">189,522.00</w:t>
            </w:r>
          </w:p>
        </w:tc>
        <w:tc>
          <w:tcPr>
            <w:tcW w:w="1380" w:type="dxa"/>
            <w:tcBorders/>
            <w:vAlign w:val="center"/>
          </w:tcPr>
          <w:p>
            <w:pPr>
              <w:snapToGrid w:val="0"/>
              <w:jc w:val="right"/>
            </w:pPr>
            <w:r>
              <w:rPr>
                <w:rFonts w:ascii="宋体" w:eastAsia="宋体" w:hAnsi="宋体" w:cs="宋体"/>
                <w:b w:val="0"/>
                <w:i w:val="0"/>
                <w:color w:val="000000"/>
                <w:sz w:val="16"/>
              </w:rPr>
              <w:t xml:space="preserve">189,522.00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6061284"/>
      <w:bookmarkStart w:id="44" w:name="_Toc229642691"/>
      <w:bookmarkStart w:id="45" w:name="_Toc190171269"/>
      <w:bookmarkStart w:id="46" w:name="_Toc245797798"/>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940268779"/>
      <w:bookmarkStart w:id="48" w:name="_Toc1512537805"/>
      <w:bookmarkStart w:id="49" w:name="_Toc752851347"/>
      <w:bookmarkStart w:id="50" w:name="_Toc576593978"/>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天津市工商业联合会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30,001,155.16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减少965,282.55元，下降3.117%</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人员退休和调出，导致人员经费减少</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一般公共预算财政拨款收入29,043,983.66元、其他收入300,105.48元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一般公共服务支出25,346,327.12元、社会保障和就业支出2,550,440.64元、卫生健康支出1,275,224.90元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458959096"/>
      <w:bookmarkStart w:id="52" w:name="_Toc1912694027"/>
      <w:bookmarkStart w:id="53" w:name="_Toc198940905"/>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天津市工商业联合会</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29,344,089.14</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减少1,595,024.40元，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人员退休和调出，导致人员经费减少</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一般公共预算财政拨款收入29,043,983.66元，占98.977%；其他收入300,105.48元，占1.023%</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757245026"/>
      <w:bookmarkStart w:id="56" w:name="_Toc2115235603"/>
      <w:bookmarkStart w:id="57" w:name="_Toc1122681810"/>
      <w:bookmarkStart w:id="58" w:name="_Toc96579984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天津市工商业联合会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29,171,992.66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减少1,864,574.01元，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人员退休和调出，导致人员经费减少</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基本支出26,047,727.16元，占89.290%；项目支出3,124,265.50元，占10.710%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029059860"/>
      <w:bookmarkStart w:id="60" w:name="_Toc1516607696"/>
      <w:bookmarkStart w:id="61" w:name="_Toc1320487183"/>
      <w:bookmarkStart w:id="62" w:name="_Toc112185812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天津市工商业联合会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29,043,983.66</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减少739,223.03元，下降2.482%，</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人员退休和调出，导致人员经费减少</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一般公共预算财政拨款29,043,983.66元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一般公共服务支出25,218,318.12元、社会保障和就业支出2,550,440.64元、卫生健康支出1,275,224.90元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723257729"/>
      <w:bookmarkStart w:id="64" w:name="_Toc163136636"/>
      <w:bookmarkStart w:id="65" w:name="_Toc1332076583"/>
      <w:bookmarkStart w:id="66" w:name="_Toc1142140429"/>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天津市工商业联合会2024年度部门决算一般公共预算财政拨款支出合计29,043,983.66元，占本年支出合计的99.561%。与2023年度相比，一般公共预算财政拨款支出</w:t>
      </w:r>
      <w:r>
        <w:rPr>
          <w:rFonts w:eastAsia="仿宋_GB2312" w:hint="eastAsia"/>
          <w:sz w:val="30"/>
          <w:szCs w:val="30"/>
          <w:highlight w:val="none"/>
          <w:u w:val="none"/>
          <w:lang w:val="en-US" w:eastAsia="zh-CN"/>
        </w:rPr>
        <w:t xml:space="preserve">减少720,845.03元</w:t>
      </w:r>
      <w:r>
        <w:rPr>
          <w:rFonts w:eastAsia="仿宋_GB2312" w:hint="eastAsia"/>
          <w:sz w:val="30"/>
          <w:szCs w:val="30"/>
          <w:highlight w:val="none"/>
          <w:u w:val="none"/>
          <w:lang w:val="en-US" w:eastAsia="zh-CN"/>
        </w:rPr>
        <w:t xml:space="preserve">，下降2.422%</w:t>
      </w:r>
      <w:r>
        <w:rPr>
          <w:rFonts w:eastAsia="仿宋_GB2312" w:hint="eastAsia"/>
          <w:sz w:val="30"/>
          <w:szCs w:val="30"/>
          <w:highlight w:val="none"/>
          <w:u w:val="none"/>
          <w:lang w:val="en-US" w:eastAsia="zh-CN"/>
        </w:rPr>
        <w:t xml:space="preserve">，主要原因是人员退休和调出，导致人员经费减少。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2024年度一般公共预算财政拨款支出29,043,983.66元，主要用于以下方面：</w:t>
      </w:r>
      <w:r>
        <w:rPr>
          <w:rFonts w:eastAsia="仿宋_GB2312" w:hint="eastAsia"/>
          <w:sz w:val="30"/>
          <w:szCs w:val="30"/>
          <w:highlight w:val="none"/>
          <w:u w:val="none"/>
          <w:lang w:val="en-US" w:eastAsia="zh-CN"/>
        </w:rPr>
        <w:t xml:space="preserve">一般公共服务支出（类）支出25,218,318.12元，占86.828%,社会保障和就业支出（类）支出2,550,440.64元，占8.781%,卫生健康支出（类）支出1,275,224.90元，占4.391%</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2024年度一般公共预算财政拨款支出年初预算为28,129,000.00元，支出决算为29,043,983.66元</w:t>
      </w:r>
      <w:r>
        <w:rPr>
          <w:rFonts w:eastAsia="仿宋_GB2312" w:hint="eastAsia"/>
          <w:sz w:val="30"/>
          <w:szCs w:val="30"/>
          <w:highlight w:val="none"/>
          <w:u w:val="none"/>
          <w:lang w:val="en-US" w:eastAsia="zh-CN"/>
        </w:rPr>
        <w:t xml:space="preserve">，完成年初预算的103.253%</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一般公共服务支出（类）民主党派及工商联事务（款）行政运行（项）年初预算为21,542,000.00元，支出决算为22,212,671.62元，完成年初预算的103.113%，决算数大于预算数的主要原因是：人员调整，追加人员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一般公共服务支出（类）民主党派及工商联事务（款）一般行政管理事务（项）年初预算为2,627,000.00元，支出决算为2,816,124.50元，完成年初预算的107.199%，决算数大于预算数的主要原因是：追加的因公出国（境）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3.一般公共服务支出（类）民主党派及工商联事务（款）其他民主党派及工商联事务支出（项）年初预算为0.00元，支出决算为189,522.00元，决算数大于预算数的主要原因是：追加的抚恤金支出。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社会保障和就业支出（类）行政事业单位养老支出（款）机关事业单位基本养老保险缴费支出（项）年初预算为1,760,000.00元，支出决算为1,700,293.76元，完成年初预算的96.608%，决算数小于预算数的主要原因是：人员调整，年中核减养老保险支出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社会保障和就业支出（类）行政事业单位养老支出（款）机关事业单位职业年金缴费支出（项）年初预算为880,000.00元，支出决算为850,146.88元，完成年初预算的96.608%，决算数小于预算数的主要原因是：人员调整，年中核减职业年金支出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卫生健康支出（类）行政事业单位医疗（款）行政单位医疗（项）年初预算为1,100,000.00元，支出决算为1,062,688.18元，完成年初预算的96.608%，决算数小于预算数的主要原因是：人员调整，年中核减行政单位医疗支出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卫生健康支出（类）行政事业单位医疗（款）公务员医疗补助（项）年初预算为220,000.00元，支出决算为212,536.72元，完成年初预算的96.608%，决算数小于预算数的主要原因是：人员调整，年中核减公务员医疗补助支出预算。</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127616914"/>
      <w:bookmarkStart w:id="68" w:name="_Toc1828187861"/>
      <w:bookmarkStart w:id="69" w:name="_Toc1745353317"/>
      <w:bookmarkStart w:id="70" w:name="_Toc1648307680"/>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天津市工商业联合会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26,038,337.16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减少962,862.49元，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人员退休和调出，导致人员经费减少</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人员经费23,175,523.82元，主要包括</w:t>
      </w:r>
      <w:r>
        <w:rPr>
          <w:rFonts w:eastAsia="仿宋_GB2312" w:hint="eastAsia"/>
          <w:sz w:val="30"/>
          <w:szCs w:val="30"/>
          <w:highlight w:val="none"/>
          <w:u w:val="none"/>
          <w:lang w:val="en-US" w:eastAsia="zh-CN"/>
        </w:rPr>
        <w:t xml:space="preserve">基本工资、津贴补贴、奖金、机关事业单位基本养老保险缴费、职业年金缴费、职工基本医疗保险缴费、公务员医疗补助缴费、其他社会保障缴费、住房公积金、其他工资福利支出、退休费、其他对个人和家庭的补助</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公用经费2,862,813.34元，主要包括</w:t>
      </w:r>
      <w:r>
        <w:rPr>
          <w:rFonts w:eastAsia="仿宋_GB2312" w:hint="eastAsia"/>
          <w:sz w:val="30"/>
          <w:szCs w:val="30"/>
          <w:highlight w:val="none"/>
          <w:u w:val="none"/>
          <w:lang w:val="en-US" w:eastAsia="zh-CN"/>
        </w:rPr>
        <w:t xml:space="preserve">办公费、印刷费、水费、电费、邮电费、取暖费、差旅费、维修（护）费、租赁费、培训费、公务接待费、委托业务费、工会经费、福利费、公务用车运行维护费、其他交通费用、其他商品和服务支出、办公设备购置、无形资产购置</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568131460"/>
      <w:bookmarkStart w:id="73" w:name="_Toc314288823"/>
      <w:bookmarkStart w:id="74" w:name="_Toc1674064446"/>
      <w:bookmarkStart w:id="75" w:name="_Toc157358551"/>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天津市工商业联合会2024年度无政府性基金预算财政拨款收入、支出和结转结余。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873153658"/>
      <w:bookmarkStart w:id="77" w:name="_Toc1172797200"/>
      <w:bookmarkStart w:id="78" w:name="_Toc1589960188"/>
      <w:bookmarkStart w:id="79" w:name="_Toc1817884575"/>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天津市工商业联合会2024年度无国有资本经营预算财政拨款收入、支出和结转结余。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597628234"/>
      <w:bookmarkStart w:id="81" w:name="_Toc1321860095"/>
      <w:bookmarkStart w:id="82" w:name="_Toc936206156"/>
      <w:bookmarkStart w:id="83" w:name="_Toc1337770055"/>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299,167.54</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299,167.54</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支出决算较上年增加226,376.11元</w:t>
      </w:r>
      <w:r>
        <w:rPr>
          <w:rFonts w:eastAsia="仿宋_GB2312" w:hint="eastAsia"/>
          <w:sz w:val="30"/>
          <w:szCs w:val="30"/>
          <w:highlight w:val="none"/>
          <w:u w:val="none"/>
          <w:lang w:val="en-US" w:eastAsia="zh-CN"/>
        </w:rPr>
        <w:t xml:space="preserve">，增长310.993%</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决算数与预算数持平的主要原因是厉行节约，严格按照预算执行，严控三公经费支出；</w:t>
      </w:r>
      <w:r>
        <w:rPr>
          <w:rFonts w:eastAsia="仿宋_GB2312" w:hint="eastAsia"/>
          <w:sz w:val="30"/>
          <w:szCs w:val="30"/>
          <w:highlight w:val="none"/>
          <w:u w:val="none"/>
          <w:lang w:val="en-US" w:eastAsia="zh-CN"/>
        </w:rPr>
        <w:t xml:space="preserve">决算数较上年增加的主要原因是出访出国境活动等安排增多，因公出国费增加；调研增加，公车油（电）费增加，公车运维费支出增加以及外省市来访增加，公务接待费增加等。</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226,515.09</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226,515.09</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支出决算较上年增加197,325.09元</w:t>
      </w:r>
      <w:r>
        <w:rPr>
          <w:rFonts w:eastAsia="仿宋_GB2312" w:hint="eastAsia"/>
          <w:sz w:val="30"/>
          <w:szCs w:val="30"/>
          <w:highlight w:val="none"/>
          <w:u w:val="none"/>
          <w:lang w:val="en-US" w:eastAsia="zh-CN"/>
        </w:rPr>
        <w:t xml:space="preserve">，增长676.002%</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决算数与预算数持平的主要原因是厉行节约，严格按照预算执行，严控因公出国（境）费支出；</w:t>
      </w:r>
      <w:r>
        <w:rPr>
          <w:rFonts w:eastAsia="仿宋_GB2312" w:hint="eastAsia"/>
          <w:sz w:val="30"/>
          <w:szCs w:val="30"/>
          <w:highlight w:val="none"/>
          <w:u w:val="none"/>
          <w:lang w:val="en-US" w:eastAsia="zh-CN"/>
        </w:rPr>
        <w:t xml:space="preserve">决算数较上年增加的主要原因是出访出国境活动等安排增多，加强经贸交流，因公出国（境）费支出增加。</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4</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9</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29,919.58</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29,919.58</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支出决算较上年增加19,925.15元</w:t>
      </w:r>
      <w:r>
        <w:rPr>
          <w:rFonts w:eastAsia="仿宋_GB2312" w:hint="eastAsia"/>
          <w:sz w:val="30"/>
          <w:szCs w:val="30"/>
          <w:highlight w:val="none"/>
          <w:u w:val="none"/>
          <w:lang w:val="en-US" w:eastAsia="zh-CN"/>
        </w:rPr>
        <w:t xml:space="preserve">，增长199.363%</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决算数与预算数持平的主要原因是厉行节约，严格按照预算执行，合理安排公车使用，压减公车运行维护费支出；</w:t>
      </w:r>
      <w:r>
        <w:rPr>
          <w:rFonts w:eastAsia="仿宋_GB2312" w:hint="eastAsia"/>
          <w:sz w:val="30"/>
          <w:szCs w:val="30"/>
          <w:highlight w:val="none"/>
          <w:u w:val="none"/>
          <w:lang w:val="en-US" w:eastAsia="zh-CN"/>
        </w:rPr>
        <w:t xml:space="preserve">决算数较上年增加的主要原因是调研活动增加，公车油（电）费增加，公务用车运行维护费支出增加。</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29,919.58</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29,919.58</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支出决算较上年增加19,925.15元</w:t>
      </w:r>
      <w:r>
        <w:rPr>
          <w:rFonts w:eastAsia="仿宋_GB2312" w:hint="eastAsia"/>
          <w:sz w:val="30"/>
          <w:szCs w:val="30"/>
          <w:highlight w:val="none"/>
          <w:u w:val="none"/>
          <w:lang w:val="en-US" w:eastAsia="zh-CN"/>
        </w:rPr>
        <w:t xml:space="preserve">，增长199.363%</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决算数与预算数持平的主要原因是厉行节约，严格按照预算执行，合理安排公车使用；</w:t>
      </w:r>
      <w:r>
        <w:rPr>
          <w:rFonts w:eastAsia="仿宋_GB2312" w:hint="eastAsia"/>
          <w:sz w:val="30"/>
          <w:szCs w:val="30"/>
          <w:highlight w:val="none"/>
          <w:u w:val="none"/>
          <w:lang w:val="en-US" w:eastAsia="zh-CN"/>
        </w:rPr>
        <w:t xml:space="preserve">决算数较上年增加的主要原因是调研活动增加，公车油（电）费增加，公务用车运行维护费支出增加。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4</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42,732.87</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42,732.87</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，完成预算的100.000%</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支出决算较上年增加9,125.87元</w:t>
      </w:r>
      <w:r>
        <w:rPr>
          <w:rFonts w:ascii="Times New Roman" w:eastAsia="仿宋_GB2312" w:hAnsi="Times New Roman" w:cs="Times New Roman" w:hint="eastAsia"/>
          <w:sz w:val="30"/>
          <w:szCs w:val="30"/>
          <w:highlight w:val="none"/>
          <w:u w:val="none"/>
          <w:lang w:val="en-US" w:eastAsia="zh-CN"/>
        </w:rPr>
        <w:t xml:space="preserve">，增长27.155%</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决算数与预算数持平的主要原因是厉行节约，严格按照预算执行，严控公务接待费开支；</w:t>
      </w:r>
      <w:r>
        <w:rPr>
          <w:rFonts w:ascii="Times New Roman" w:eastAsia="仿宋_GB2312" w:hAnsi="Times New Roman" w:cs="Times New Roman" w:hint="eastAsia"/>
          <w:sz w:val="30"/>
          <w:szCs w:val="30"/>
          <w:highlight w:val="none"/>
          <w:u w:val="none"/>
          <w:lang w:val="en-US" w:eastAsia="zh-CN"/>
        </w:rPr>
        <w:t xml:space="preserve">决算数较上年增加的主要原因是外省市来访增加，公务接待费增加。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26</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142</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3</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27</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102885201"/>
      <w:bookmarkStart w:id="89" w:name="_Toc1349690397"/>
      <w:bookmarkStart w:id="90" w:name="_Toc1895013942"/>
      <w:bookmarkStart w:id="91" w:name="_Toc204182323"/>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天津市工商业联合会2024年度机关运行经费年初预算3,007,000.00元，决算数2,862,813.34元，与年初预算相比</w:t>
      </w:r>
      <w:r>
        <w:rPr>
          <w:rFonts w:eastAsia="仿宋_GB2312" w:hint="eastAsia"/>
          <w:sz w:val="30"/>
          <w:szCs w:val="30"/>
          <w:highlight w:val="none"/>
          <w:u w:val="none"/>
          <w:lang w:val="en-US" w:eastAsia="zh-CN"/>
        </w:rPr>
        <w:t xml:space="preserve">减少144,186.66元，</w:t>
      </w:r>
      <w:r>
        <w:rPr>
          <w:rFonts w:eastAsia="仿宋_GB2312" w:hint="eastAsia"/>
          <w:sz w:val="30"/>
          <w:szCs w:val="30"/>
          <w:highlight w:val="none"/>
          <w:u w:val="none"/>
          <w:lang w:val="en-US" w:eastAsia="zh-CN"/>
        </w:rPr>
        <w:t xml:space="preserve">完成年初预算的95.205%；</w:t>
      </w:r>
      <w:r>
        <w:rPr>
          <w:rFonts w:eastAsia="仿宋_GB2312" w:hint="eastAsia"/>
          <w:sz w:val="30"/>
          <w:szCs w:val="30"/>
          <w:highlight w:val="none"/>
          <w:u w:val="none"/>
          <w:lang w:val="en-US" w:eastAsia="zh-CN"/>
        </w:rPr>
        <w:t xml:space="preserve">比2023年增加145,754.22元</w:t>
      </w:r>
      <w:r>
        <w:rPr>
          <w:rFonts w:eastAsia="仿宋_GB2312" w:hint="eastAsia"/>
          <w:sz w:val="30"/>
          <w:szCs w:val="30"/>
          <w:highlight w:val="none"/>
          <w:u w:val="none"/>
          <w:lang w:val="en-US" w:eastAsia="zh-CN"/>
        </w:rPr>
        <w:t xml:space="preserve">，增长5.364%</w:t>
      </w:r>
      <w:r>
        <w:rPr>
          <w:rFonts w:eastAsia="仿宋_GB2312" w:hint="eastAsia"/>
          <w:sz w:val="30"/>
          <w:szCs w:val="30"/>
          <w:highlight w:val="none"/>
          <w:u w:val="none"/>
          <w:lang w:val="en-US" w:eastAsia="zh-CN"/>
        </w:rPr>
        <w:t xml:space="preserve">，主要原因是：本年人员变动租赁支出增加。</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3434755"/>
      <w:bookmarkStart w:id="93" w:name="_Toc169354537"/>
      <w:bookmarkStart w:id="94" w:name="_Toc376739118"/>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市工商业联合会2024年政府采购支出总额1,326,567.50元，其中：政府采购货物支出78,567.50元、政府采购工程支出0.00元、政府采购服务支出1,248,000.00元。授予中小企业合同金额1,326,567.50元，占政府采购支出总额的100.000%，其中：授予小微企业合同金额0.00元，占政府采购支出总额的0.000%；货物采购授予中小企业合同金额占货物支出金额的100.000%，工程采购授予中小企业合同金额占工程支出金额的0.000%，服务采购授予中小企业合同金额占服务支出金额的100.000%。</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072564870"/>
      <w:bookmarkStart w:id="97" w:name="_Toc925871084"/>
      <w:bookmarkStart w:id="98" w:name="_Toc125708453"/>
      <w:bookmarkStart w:id="99" w:name="_Toc312144350"/>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天津市工商业联合会2024年度无国有资产占有使用情况。</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805544570"/>
      <w:bookmarkStart w:id="102" w:name="_Toc448802626"/>
      <w:bookmarkStart w:id="103" w:name="_Toc2055024476"/>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根据预算绩效管理要求，天津市工商业联合会2024年度已对10个市级项目开展绩效自评，涉及金额3,043,152.10元，自评结果已随部门决算一并公开。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default"/>
          <w:sz w:val="30"/>
          <w:szCs w:val="30"/>
          <w:highlight w:val="none"/>
          <w:u w:val="none"/>
          <w:lang w:val="en-US" w:eastAsia="zh-CN"/>
        </w:rPr>
        <w:t xml:space="preserve">    天津市工商业联合会2024年度已对1个项目开展部门评价，涉及金额850,000.00元。</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063166918"/>
      <w:bookmarkStart w:id="105" w:name="_Toc816873431"/>
      <w:bookmarkStart w:id="106" w:name="_Toc1374094560"/>
      <w:bookmarkStart w:id="107" w:name="_Toc1843655880"/>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天津市工商业联合会不属于乡、镇、街级单位，不涉及公开2024年度教育、医疗卫生、社会保障和就业、住房保障、涉农补贴等民生支出情况。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328799546"/>
      <w:bookmarkStart w:id="109" w:name="_Toc282832597"/>
      <w:bookmarkStart w:id="110" w:name="_Toc368130082"/>
      <w:bookmarkStart w:id="111" w:name="_Toc1582447786"/>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customXml" Target="../customXml/item3.xml" /><Relationship Id="rId30" Type="http://schemas.openxmlformats.org/officeDocument/2006/relationships/theme" Target="theme/theme1.xml" /><Relationship Id="rId31" Type="http://schemas.openxmlformats.org/officeDocument/2006/relationships/styles" Target="styles.xml" /><Relationship Id="rId32" Type="http://schemas.openxmlformats.org/officeDocument/2006/relationships/webSettings" Target="webSettings.xml" /><Relationship Id="rId33" Type="http://schemas.openxmlformats.org/officeDocument/2006/relationships/fontTable" Target="fontTable.xml" /><Relationship Id="rId34"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1.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4.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94c20284-5daf-437f-afc2-b95276a97113}">
  <ds:schemaRefs/>
</ds:datastoreItem>
</file>

<file path=customXml/itemProps12.xml><?xml version="1.0" encoding="utf-8"?>
<ds:datastoreItem xmlns:ds="http://schemas.openxmlformats.org/officeDocument/2006/customXml" ds:itemID="{5ae26f72-fa8e-4537-a3dd-d3b8478cfcfe}">
  <ds:schemaRefs/>
</ds:datastoreItem>
</file>

<file path=customXml/itemProps13.xml><?xml version="1.0" encoding="utf-8"?>
<ds:datastoreItem xmlns:ds="http://schemas.openxmlformats.org/officeDocument/2006/customXml" ds:itemID="{fed59827-4645-40ff-a724-9f89096cf019}">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ecf4e218-7aaa-47f4-afdd-e2b4ce052896}">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762fe463-9158-4ad3-946b-699adab088e5}">
  <ds:schemaRefs/>
</ds:datastoreItem>
</file>

<file path=customXml/itemProps18.xml><?xml version="1.0" encoding="utf-8"?>
<ds:datastoreItem xmlns:ds="http://schemas.openxmlformats.org/officeDocument/2006/customXml" ds:itemID="{4f63a560-0080-4a2d-9b9d-d75b1da5668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d6fbf1f4-6224-409a-9fcb-9dfa953478da}">
  <ds:schemaRefs/>
</ds:datastoreItem>
</file>

<file path=customXml/itemProps21.xml><?xml version="1.0" encoding="utf-8"?>
<ds:datastoreItem xmlns:ds="http://schemas.openxmlformats.org/officeDocument/2006/customXml" ds:itemID="{69caf7e9-83ee-4d23-8dc7-502960e8f893}">
  <ds:schemaRefs/>
</ds:datastoreItem>
</file>

<file path=customXml/itemProps22.xml><?xml version="1.0" encoding="utf-8"?>
<ds:datastoreItem xmlns:ds="http://schemas.openxmlformats.org/officeDocument/2006/customXml" ds:itemID="{09a94117-88a3-4e0b-adb3-e69ef559bb83}">
  <ds:schemaRefs/>
</ds:datastoreItem>
</file>

<file path=customXml/itemProps23.xml><?xml version="1.0" encoding="utf-8"?>
<ds:datastoreItem xmlns:ds="http://schemas.openxmlformats.org/officeDocument/2006/customXml" ds:itemID="{fde1a1c2-fbc7-499d-a1a7-2aef61e292aa}">
  <ds:schemaRefs/>
</ds:datastoreItem>
</file>

<file path=customXml/itemProps24.xml><?xml version="1.0" encoding="utf-8"?>
<ds:datastoreItem xmlns:ds="http://schemas.openxmlformats.org/officeDocument/2006/customXml" ds:itemID="{c4b34e17-0104-4edc-8b65-fee07f5d6036}">
  <ds:schemaRefs/>
</ds:datastoreItem>
</file>

<file path=customXml/itemProps25.xml><?xml version="1.0" encoding="utf-8"?>
<ds:datastoreItem xmlns:ds="http://schemas.openxmlformats.org/officeDocument/2006/customXml" ds:itemID="{5cee1daa-2e55-4f5c-85d1-366dfbe4870f}">
  <ds:schemaRefs/>
</ds:datastoreItem>
</file>

<file path=customXml/itemProps26.xml><?xml version="1.0" encoding="utf-8"?>
<ds:datastoreItem xmlns:ds="http://schemas.openxmlformats.org/officeDocument/2006/customXml" ds:itemID="{9e235116-2b60-40f7-90b3-ad0db00c8d58}">
  <ds:schemaRefs/>
</ds:datastoreItem>
</file>

<file path=customXml/itemProps27.xml><?xml version="1.0" encoding="utf-8"?>
<ds:datastoreItem xmlns:ds="http://schemas.openxmlformats.org/officeDocument/2006/customXml" ds:itemID="{18eaf0bc-63de-4d5c-bade-39be023db32d}">
  <ds:schemaRefs/>
</ds:datastoreItem>
</file>

<file path=customXml/itemProps3.xml><?xml version="1.0" encoding="utf-8"?>
<ds:datastoreItem xmlns:ds="http://schemas.openxmlformats.org/officeDocument/2006/customXml" ds:itemID="{cc88aea9-b6d6-4ed3-8d23-5498e7b9bef0}">
  <ds:schemaRefs/>
</ds:datastoreItem>
</file>

<file path=customXml/itemProps4.xml><?xml version="1.0" encoding="utf-8"?>
<ds:datastoreItem xmlns:ds="http://schemas.openxmlformats.org/officeDocument/2006/customXml" ds:itemID="{e7b89b85-de50-4fa4-b41b-da9ea0b13fc5}">
  <ds:schemaRefs/>
</ds:datastoreItem>
</file>

<file path=customXml/itemProps5.xml><?xml version="1.0" encoding="utf-8"?>
<ds:datastoreItem xmlns:ds="http://schemas.openxmlformats.org/officeDocument/2006/customXml" ds:itemID="{75280075-3007-485f-9daf-575194e50c9b}">
  <ds:schemaRefs/>
</ds:datastoreItem>
</file>

<file path=customXml/itemProps6.xml><?xml version="1.0" encoding="utf-8"?>
<ds:datastoreItem xmlns:ds="http://schemas.openxmlformats.org/officeDocument/2006/customXml" ds:itemID="{a019e02d-672e-4a1f-a301-3d6cc6bbd6cd}">
  <ds:schemaRefs/>
</ds:datastoreItem>
</file>

<file path=customXml/itemProps7.xml><?xml version="1.0" encoding="utf-8"?>
<ds:datastoreItem xmlns:ds="http://schemas.openxmlformats.org/officeDocument/2006/customXml" ds:itemID="{cc5df07e-bffa-43fa-a3cd-98069df0f687}">
  <ds:schemaRefs/>
</ds:datastoreItem>
</file>

<file path=customXml/itemProps8.xml><?xml version="1.0" encoding="utf-8"?>
<ds:datastoreItem xmlns:ds="http://schemas.openxmlformats.org/officeDocument/2006/customXml" ds:itemID="{ad23279a-c336-4dd7-ba6e-62405502a753}">
  <ds:schemaRefs/>
</ds:datastoreItem>
</file>

<file path=customXml/itemProps9.xml><?xml version="1.0" encoding="utf-8"?>
<ds:datastoreItem xmlns:ds="http://schemas.openxmlformats.org/officeDocument/2006/customXml" ds:itemID="{f3baaf12-834e-4002-b80c-f5a50f7a299f}">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2025-07-05T11:27:00Z</cp:lastPrinted>
  <dcterms:created xsi:type="dcterms:W3CDTF">2019-08-08T02:37:00Z</dcterms:created>
  <dcterms:modified xsi:type="dcterms:W3CDTF">2025-08-15T11:25:04Z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