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天津市工商业联</w:t>
      </w:r>
      <w:bookmarkStart w:id="0" w:name="_GoBack"/>
      <w:bookmarkEnd w:id="0"/>
      <w:r>
        <w:rPr>
          <w:rFonts w:hint="eastAsia" w:ascii="Times New Roman" w:hAnsi="Times New Roman" w:eastAsia="方正小标宋简体" w:cs="方正小标宋简体"/>
          <w:kern w:val="0"/>
          <w:sz w:val="48"/>
          <w:szCs w:val="48"/>
          <w:highlight w:val="none"/>
          <w:lang w:val="zh-CN"/>
        </w:rPr>
        <w:t>合会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both"/>
        <w:rPr>
          <w:rFonts w:ascii="Times New Roman" w:hAnsi="Times New Roman" w:eastAsia="黑体" w:cs="黑体"/>
          <w:sz w:val="30"/>
          <w:szCs w:val="30"/>
          <w:highlight w:val="none"/>
        </w:rPr>
      </w:pPr>
    </w:p>
    <w:p>
      <w:pPr>
        <w:autoSpaceDE w:val="0"/>
        <w:autoSpaceDN w:val="0"/>
        <w:adjustRightInd w:val="0"/>
        <w:spacing w:line="580" w:lineRule="exact"/>
        <w:jc w:val="both"/>
        <w:rPr>
          <w:rFonts w:ascii="Times New Roman" w:hAnsi="Times New Roman" w:eastAsia="黑体" w:cs="黑体"/>
          <w:sz w:val="30"/>
          <w:szCs w:val="30"/>
          <w:highlight w:val="none"/>
        </w:rPr>
      </w:pPr>
    </w:p>
    <w:p>
      <w:pPr>
        <w:autoSpaceDE w:val="0"/>
        <w:autoSpaceDN w:val="0"/>
        <w:adjustRightInd w:val="0"/>
        <w:spacing w:line="580" w:lineRule="exact"/>
        <w:jc w:val="both"/>
        <w:rPr>
          <w:rFonts w:ascii="Times New Roman" w:hAnsi="Times New Roman" w:eastAsia="黑体" w:cs="黑体"/>
          <w:sz w:val="30"/>
          <w:szCs w:val="30"/>
          <w:highlight w:val="none"/>
        </w:rPr>
      </w:pPr>
    </w:p>
    <w:p>
      <w:pPr>
        <w:autoSpaceDE w:val="0"/>
        <w:autoSpaceDN w:val="0"/>
        <w:adjustRightInd w:val="0"/>
        <w:spacing w:line="580" w:lineRule="exact"/>
        <w:jc w:val="both"/>
        <w:rPr>
          <w:rFonts w:ascii="Times New Roman" w:hAnsi="Times New Roman" w:eastAsia="黑体" w:cs="黑体"/>
          <w:sz w:val="30"/>
          <w:szCs w:val="30"/>
          <w:highlight w:val="none"/>
        </w:rPr>
      </w:pPr>
    </w:p>
    <w:p>
      <w:pPr>
        <w:autoSpaceDE w:val="0"/>
        <w:autoSpaceDN w:val="0"/>
        <w:adjustRightInd w:val="0"/>
        <w:spacing w:line="580" w:lineRule="exact"/>
        <w:jc w:val="both"/>
        <w:rPr>
          <w:rFonts w:ascii="Times New Roman" w:hAnsi="Times New Roman" w:eastAsia="黑体" w:cs="黑体"/>
          <w:sz w:val="30"/>
          <w:szCs w:val="30"/>
          <w:highlight w:val="none"/>
        </w:rPr>
      </w:pPr>
    </w:p>
    <w:p>
      <w:pPr>
        <w:autoSpaceDE w:val="0"/>
        <w:autoSpaceDN w:val="0"/>
        <w:adjustRightInd w:val="0"/>
        <w:spacing w:line="600" w:lineRule="exact"/>
        <w:jc w:val="both"/>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both"/>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both"/>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both"/>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both"/>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both"/>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both"/>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both"/>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天津市工商业联合会是市委领导的以非公有制企业和非公有制经济人士为主体的人民团体和商会组织，是党和政府联系非公有制经济人士的桥梁纽带，是政府管理和服务非公有制经济的助手。</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1.宣传贯彻党关于发展非公有制经济的方针政策，落实市委、市政府部署要求，执行市工商联代表大会决定，推动形成有利于非公有制经济发展的政策环境、法治环境、市场环境、社会环境。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做好非公有制经济人士思想政治工作，开展理想信念教育，对非公有制经济人士特别是年轻一代进行团结、服务、引导、教育；引导非公有制经济人士爱国、敬业、创新、守法、诚信、贡献，践行社会主义核心价值观；宣传表彰先进典型。</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3.引导非公有制经济人士投身光彩事业和公益慈善事业，积极履行社会责任。</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4.参与政治协商，发挥民主监督作用，积极参政议政。畅通非公有制经济人士有序政治参与渠道，帮助提高议政建言水平，积极反映社情民意。</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5.培养拥护党的领导、走中国特色社会主义道路的非公有制经济人士队伍，做好非公有制经济代表人士的发现、培养、推荐和管理工作。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履行社会团体业务主管单位职责；负责对所属商会进行指导、引导和服务，对所属商会会员开展思想政治工作、教育培训，对主要负责人进行考核；负责会员发展、联系、管理和服务工作；指导各区工商联工作。</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7.推动构建亲清新型政商关系，规范会员行为自律，引导非公有制经济人士依法诚信经营；了解反映非公有制经济人士诉求，帮助其依照法定程序维护合法权益；参与经济纠纷的调解、仲裁。</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8.协助政府管理和服务非公有制经济，为非公有制企业提供信息、法律、融资、技术、人才等方面服务；引导非公有制企业建立现代企业制度，加强自主创新。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9.组织非公有制企业参与实施区域协调发展战略，为地方经济建设服务，促进城乡、区域统筹协调发展。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10.参与非公有制企业党建工作，支持和配合做好所属会员企业、各类商会党组织组建工作，推动成立行业性或区域性党组织。</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11.参加市协调劳动关系三方会议，参与劳动争议调解、仲裁；协调处理投资者利益与劳动者权益的关系，引导非公有制企业构建和谐劳动关系。</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12.加强与港澳台工商界的联系，促进经贸合作。开展民间外交，加强与国外工商界交流合作，为非公有制企业参与“一带一路”建设、开展国际合作提供服务。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13.加强网上工商联建设，开展网络宣传、网上服务和网上维权。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14.配合市委、市政府实施人才发展战略，加强非公有制经济组织人才队伍建设。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15.承办市委、市政府交办的其他事项。</w:t>
      </w:r>
    </w:p>
    <w:p>
      <w:pPr>
        <w:keepNext/>
        <w:keepLines/>
        <w:autoSpaceDE w:val="0"/>
        <w:autoSpaceDN w:val="0"/>
        <w:adjustRightInd w:val="0"/>
        <w:spacing w:line="6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天津市工商业联合会内设10个职能处室；下辖</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个预算单位。纳入天津市工商业联合会2023年度部门决算编制范围的单位包括：</w:t>
      </w:r>
    </w:p>
    <w:p>
      <w:pPr>
        <w:autoSpaceDE w:val="0"/>
        <w:autoSpaceDN w:val="0"/>
        <w:adjustRightInd w:val="0"/>
        <w:spacing w:line="600" w:lineRule="exact"/>
        <w:ind w:left="596" w:leftChars="284" w:firstLine="0" w:firstLineChars="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1.天津市工商业联合会本级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2.天津市兰园保育院</w:t>
      </w:r>
    </w:p>
    <w:p>
      <w:pPr>
        <w:jc w:val="both"/>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both"/>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both"/>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1.天津市工商业联合会2023年度政府性基金预算财政拨款收入支出决算表为空表。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2.天津市工商业联合会2023年度国有资本经营预算财政拨款收入支出决算表为空表。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center"/>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center"/>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天津市工商业联合会2023年度收入、支出决算总计</w:t>
      </w:r>
      <w:r>
        <w:rPr>
          <w:rFonts w:hint="eastAsia" w:ascii="Times New Roman" w:hAnsi="Times New Roman" w:eastAsia="仿宋_GB2312" w:cs="仿宋_GB2312"/>
          <w:sz w:val="30"/>
          <w:szCs w:val="30"/>
          <w:highlight w:val="none"/>
          <w:lang w:eastAsia="zh-CN"/>
        </w:rPr>
        <w:t>30,966,437.71元，与2022年度相比，收、支总计各增加1,625,523.32元，增长5.54%，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：人员经费增加。</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30,939,113.54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增加1,434,554.68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人员经费增加。</w:t>
      </w:r>
    </w:p>
    <w:p>
      <w:pPr>
        <w:autoSpaceDE w:val="0"/>
        <w:autoSpaceDN w:val="0"/>
        <w:adjustRightInd w:val="0"/>
        <w:spacing w:line="600" w:lineRule="exact"/>
        <w:ind w:firstLine="600"/>
        <w:jc w:val="both"/>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29,783,206.69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96.26</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1,155,906.85元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3.74%</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31,036,566.67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1,546,527.02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人员经费增加。</w:t>
      </w:r>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28,105,260.49元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90.56</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2,931,306.18元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占9.44%。</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天津市工商业联合会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29,783,206.69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1,586,808.39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5.63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人员经费增加。</w:t>
      </w:r>
    </w:p>
    <w:p>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both"/>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计29,764,828.69元，占本年支出合计的95.9%，与2022年度相比，一般公共预算财政拨款支出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1,572,513.39元，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5.58%，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：人员经费增加。</w:t>
      </w:r>
    </w:p>
    <w:p>
      <w:pPr>
        <w:autoSpaceDE w:val="0"/>
        <w:autoSpaceDN w:val="0"/>
        <w:adjustRightInd w:val="0"/>
        <w:spacing w:line="600" w:lineRule="exact"/>
        <w:ind w:left="480"/>
        <w:jc w:val="both"/>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29,764,828.69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一般公共服务支出25,679,152.83元，占86.27%；社会保障和就业支出2,692,477.68元，占9.05%；卫生健康支出1,393,198.18元，占4.68%。</w:t>
      </w:r>
    </w:p>
    <w:p>
      <w:pPr>
        <w:autoSpaceDE w:val="0"/>
        <w:autoSpaceDN w:val="0"/>
        <w:adjustRightInd w:val="0"/>
        <w:spacing w:line="600" w:lineRule="exact"/>
        <w:ind w:left="480"/>
        <w:jc w:val="both"/>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28,762,000.00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29,764,828.69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103.49%</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firstLineChars="20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1.一般公共服务支出（类）民主党派及工商联事务（款）行政运行（项）年初预算为22,390,000元，支出决算为22,915,523.79元，完成年初预算的102.35%，决算数大于年初预算数的主要原因是人员经费增加。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2.一般公共服务支出（类）民主党派及工商联事务（款）一般行政管理事务（项）年初预算为2,193,000元，支出决算为2,042,923.04元，完成年初预算的93.16%，决算数小于年初预算数的主要原因是经费压减。</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一般公共服务支出（类）民主党派及工商联事务（款）其他民主党派及工商联事务支出（项）年初预算为0元，支出决算为720,706元，追加预算720,706元，完成追加预算的100%，决算数等于追加预算数的主要原因是追加的抚恤金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社会保障和就业支出（类）行政事业单位养老支出（款）机关事业单位基本养老保险缴费支出（项）年初预算为1,832,000.00元，支出决算为1,794,985.12元，完成年初预算的97.98%，决算数小于年初预算数的主要原因是人员调整，年中核减养老保险支出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社会保障和就业支出（类）行政事业单位养老支出（款）机关事业单位职业年金缴费支出（项）年初预算为916,000.00元，支出决算为897,492.56元，完成年初预算的97.98%，决算数小于年初预算数的主要原因是人员调整，年中核减职业年金支出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卫生健康支出（类）行政事业单位医疗（款）行政单位医疗（项）年初预算为1,202,000.00元，支出决算为1,168,825.04元，完成年初预算的97.24%，决算数小于年初预算数的主要原因是人员调整，年中核减行政单位医疗支出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卫生健康支出（类）行政事业单位医疗（款）公务员医疗补助（项）年初预算为229,000.00元，支出决算为224,373.14元，完成年初预算的97.98%，决算数小于年初预算数的主要原因是人员调整，年中核减公务员医疗补助支出预算。</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天津市工商业联合会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27,001,199.65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540,679.16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24,284,140.53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其他对个人和家庭的补助。</w:t>
      </w:r>
    </w:p>
    <w:p>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2,717,059.12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邮电费、取暖费、物业管理费、差旅费、因公出国（境）费用、维修(护)费、租赁费、会议费、培训费、公务接待费、劳务费、委托业务费、工会经费、福利费、公务用车运行维护费、其他交通费用、其他商品和服务支出、办公设备购置、无形资产购置。</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both"/>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天津市工商业联合会2023年度无政府性基金预算财政拨款收入、支出和结转结余。</w:t>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both"/>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天津市工商业联合会2023年度无国有资本经营预算财政拨款收入、支出和结转结余。</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both"/>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427,000.00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72,791.43</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354,208.57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17.05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59,919.65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465.51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厉行节约，落实过紧日子思想，</w:t>
      </w:r>
      <w:r>
        <w:rPr>
          <w:rFonts w:hint="eastAsia" w:ascii="Times New Roman" w:hAnsi="Times New Roman" w:eastAsia="仿宋_GB2312" w:cs="仿宋_GB2312"/>
          <w:sz w:val="30"/>
          <w:szCs w:val="30"/>
          <w:highlight w:val="none"/>
          <w:lang w:eastAsia="zh-CN"/>
        </w:rPr>
        <w:t>按要求压减因公出国（境）费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上年受新冠疫情影响，接待和调研活动减少，公车运维成本降低</w:t>
      </w:r>
      <w:r>
        <w:rPr>
          <w:rFonts w:hint="eastAsia" w:ascii="Times New Roman" w:hAnsi="Times New Roman" w:eastAsia="仿宋_GB2312" w:cs="仿宋_GB2312"/>
          <w:sz w:val="30"/>
          <w:szCs w:val="30"/>
          <w:highlight w:val="none"/>
          <w:lang w:val="en-US" w:eastAsia="zh-CN"/>
        </w:rPr>
        <w:t>，今年逐步恢复正常</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firstLine="602"/>
        <w:jc w:val="both"/>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327,000.00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29,190.00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297,810.00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8.93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29,190.00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按要求压减因公出国费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上年未安排因公出国，疫情结束，出国境活动安排增多。</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9,994.43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5.57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5,963.15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147.92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压减公务用车购置及运行维护费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调研增加，公车油（电）费增加。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9,994.43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5.57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5,963.15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147.92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压减公务用车购置及运行维护费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调研增加，公车油（电）费增加。</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90,000.00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33,607.00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56,393.00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37.34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24,766.50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280.15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压减公务接待费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外省市来访增加，公务接待费增加。</w:t>
      </w:r>
    </w:p>
    <w:p>
      <w:pPr>
        <w:autoSpaceDE w:val="0"/>
        <w:autoSpaceDN w:val="0"/>
        <w:adjustRightInd w:val="0"/>
        <w:spacing w:line="600" w:lineRule="exact"/>
        <w:ind w:firstLine="645"/>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19</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109</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天津市工商业联合会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2,717,059.12</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1,506,107.98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35.66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压减公用经费。</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天津市工商业联合会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1,222,285.10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69,515.10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1,152,770.00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1,222,285.10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69,515.10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5.69%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天津市工商业联合会2023年度无国有资产占有使用情况。</w:t>
      </w:r>
    </w:p>
    <w:p>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根据预算绩效管理要求，天津市工商业联合会2023年度已对7个市级项目开展绩效自评，涉及金额2,763,629.04元，自评结果已随部门决算一并公开；本部门2023年度未开展部门评价。</w:t>
      </w:r>
    </w:p>
    <w:p>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天津市工商业联合会不属于乡、镇、街级单位，不涉及公开2023年度教育、医疗卫生、社会保障和就业、住房保障、涉农补贴等民生支出情况。</w:t>
      </w:r>
    </w:p>
    <w:p>
      <w:pPr>
        <w:autoSpaceDE w:val="0"/>
        <w:autoSpaceDN w:val="0"/>
        <w:adjustRightInd w:val="0"/>
        <w:jc w:val="both"/>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both"/>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B3F1BDB"/>
    <w:rsid w:val="0C411F0C"/>
    <w:rsid w:val="0CDD71F7"/>
    <w:rsid w:val="0D664210"/>
    <w:rsid w:val="0DA7267B"/>
    <w:rsid w:val="0DFB4FC0"/>
    <w:rsid w:val="0E267459"/>
    <w:rsid w:val="0EBB5316"/>
    <w:rsid w:val="0F4936D8"/>
    <w:rsid w:val="0FC42B69"/>
    <w:rsid w:val="0FF22FB9"/>
    <w:rsid w:val="101A5586"/>
    <w:rsid w:val="1023156B"/>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094C38"/>
    <w:rsid w:val="1B173F14"/>
    <w:rsid w:val="1B4641B9"/>
    <w:rsid w:val="1B520DB0"/>
    <w:rsid w:val="1B5D5A1E"/>
    <w:rsid w:val="1B7A68EC"/>
    <w:rsid w:val="1CCA277E"/>
    <w:rsid w:val="1DFB572F"/>
    <w:rsid w:val="1E9F351B"/>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7751BF"/>
    <w:rsid w:val="32146967"/>
    <w:rsid w:val="32443D30"/>
    <w:rsid w:val="32672F3B"/>
    <w:rsid w:val="33032C66"/>
    <w:rsid w:val="332D3FC0"/>
    <w:rsid w:val="33A412A9"/>
    <w:rsid w:val="354D7E20"/>
    <w:rsid w:val="35747E49"/>
    <w:rsid w:val="35823AFA"/>
    <w:rsid w:val="358C1096"/>
    <w:rsid w:val="35B6328D"/>
    <w:rsid w:val="35F44AE6"/>
    <w:rsid w:val="36144696"/>
    <w:rsid w:val="36580FD3"/>
    <w:rsid w:val="36585D59"/>
    <w:rsid w:val="381E22EE"/>
    <w:rsid w:val="38830F45"/>
    <w:rsid w:val="3AF76503"/>
    <w:rsid w:val="3B0209DD"/>
    <w:rsid w:val="3B0C198B"/>
    <w:rsid w:val="3B483C6E"/>
    <w:rsid w:val="3B776F10"/>
    <w:rsid w:val="3B7C7A57"/>
    <w:rsid w:val="3B8E1539"/>
    <w:rsid w:val="3BC70634"/>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B90C0D"/>
    <w:rsid w:val="54F16968"/>
    <w:rsid w:val="55AC416B"/>
    <w:rsid w:val="564C0516"/>
    <w:rsid w:val="5713248B"/>
    <w:rsid w:val="57833AC4"/>
    <w:rsid w:val="578735B4"/>
    <w:rsid w:val="586475AB"/>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35D9F"/>
    <w:rsid w:val="63B80927"/>
    <w:rsid w:val="643C1F0A"/>
    <w:rsid w:val="644D16E1"/>
    <w:rsid w:val="64925346"/>
    <w:rsid w:val="654D2EBE"/>
    <w:rsid w:val="654E5711"/>
    <w:rsid w:val="656942F9"/>
    <w:rsid w:val="65B558C0"/>
    <w:rsid w:val="665D659A"/>
    <w:rsid w:val="66BC2A82"/>
    <w:rsid w:val="672E57FA"/>
    <w:rsid w:val="67827459"/>
    <w:rsid w:val="68200AB4"/>
    <w:rsid w:val="68C169D0"/>
    <w:rsid w:val="6A5B31F9"/>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445C6E"/>
    <w:rsid w:val="79B7155B"/>
    <w:rsid w:val="79C50E0E"/>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ScaleCrop>false</ScaleCrop>
  <LinksUpToDate>false</LinksUpToDate>
  <CharactersWithSpaces>5662</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cp:lastPrinted>2024-08-19T10:09:00Z</cp:lastPrinted>
  <dcterms:modified xsi:type="dcterms:W3CDTF">2024-08-28T06:54:21Z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ICV">
    <vt:lpwstr>FFC43B5FC5B247A9B7BA7FB00408EE48_13</vt:lpwstr>
  </property>
</Properties>
</file>